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OLE_LINK1"/>
    <w:bookmarkStart w:id="1" w:name="OLE_LINK2"/>
    <w:bookmarkStart w:id="2" w:name="OLE_LINK5"/>
    <w:bookmarkStart w:id="3" w:name="OLE_LINK3"/>
    <w:bookmarkStart w:id="4" w:name="OLE_LINK6"/>
    <w:p w14:paraId="55779C46" w14:textId="1D30C185" w:rsidR="00534FA0" w:rsidRPr="00CB1BCD" w:rsidRDefault="00000000" w:rsidP="001C71C2">
      <w:pPr>
        <w:spacing w:line="276" w:lineRule="auto"/>
        <w:jc w:val="right"/>
        <w:rPr>
          <w:rFonts w:cs="Times New Roman"/>
          <w:b/>
          <w:bCs/>
        </w:rPr>
      </w:pPr>
      <w:r>
        <w:fldChar w:fldCharType="begin"/>
      </w:r>
      <w:r>
        <w:instrText>HYPERLINK "https://doi.org/10.23913/"</w:instrText>
      </w:r>
      <w:r>
        <w:fldChar w:fldCharType="separate"/>
      </w:r>
      <w:r w:rsidR="00534FA0" w:rsidRPr="00CB1BCD">
        <w:rPr>
          <w:rStyle w:val="Hipervnculo"/>
          <w:rFonts w:cs="Times New Roman"/>
          <w:b/>
          <w:bCs/>
          <w:color w:val="auto"/>
          <w:u w:val="none"/>
        </w:rPr>
        <w:t>https://doi.org/</w:t>
      </w:r>
      <w:r w:rsidR="00AE20F7" w:rsidRPr="00AE20F7">
        <w:rPr>
          <w:rStyle w:val="Hipervnculo"/>
          <w:rFonts w:cs="Times New Roman"/>
          <w:b/>
          <w:bCs/>
          <w:color w:val="auto"/>
          <w:u w:val="none"/>
        </w:rPr>
        <w:t>10.23913/ctes.v13i26.944</w:t>
      </w:r>
      <w:r>
        <w:rPr>
          <w:rStyle w:val="Hipervnculo"/>
          <w:rFonts w:cs="Times New Roman"/>
          <w:b/>
          <w:bCs/>
          <w:color w:val="auto"/>
          <w:u w:val="none"/>
        </w:rPr>
        <w:fldChar w:fldCharType="end"/>
      </w:r>
    </w:p>
    <w:p w14:paraId="3737F83D" w14:textId="56EAA31D" w:rsidR="00534FA0" w:rsidRPr="00CB1BCD" w:rsidRDefault="00F213DA" w:rsidP="001C71C2">
      <w:pPr>
        <w:widowControl w:val="0"/>
        <w:autoSpaceDE w:val="0"/>
        <w:autoSpaceDN w:val="0"/>
        <w:adjustRightInd w:val="0"/>
        <w:spacing w:line="276" w:lineRule="auto"/>
        <w:jc w:val="right"/>
        <w:rPr>
          <w:rFonts w:cs="Times New Roman"/>
          <w:b/>
          <w:bCs/>
          <w:i/>
          <w:iCs/>
        </w:rPr>
      </w:pPr>
      <w:r w:rsidRPr="000B2198">
        <w:rPr>
          <w:rFonts w:cs="Times New Roman"/>
          <w:noProof/>
          <w:lang w:eastAsia="es-MX"/>
        </w:rPr>
        <w:drawing>
          <wp:anchor distT="0" distB="0" distL="114300" distR="114300" simplePos="0" relativeHeight="251664384" behindDoc="1" locked="0" layoutInCell="1" allowOverlap="1" wp14:anchorId="6D911475" wp14:editId="71CACBE1">
            <wp:simplePos x="0" y="0"/>
            <wp:positionH relativeFrom="page">
              <wp:posOffset>-76200</wp:posOffset>
            </wp:positionH>
            <wp:positionV relativeFrom="margin">
              <wp:posOffset>-929005</wp:posOffset>
            </wp:positionV>
            <wp:extent cx="7839075" cy="1276985"/>
            <wp:effectExtent l="0" t="0" r="9525" b="0"/>
            <wp:wrapThrough wrapText="bothSides">
              <wp:wrapPolygon edited="0">
                <wp:start x="0" y="0"/>
                <wp:lineTo x="0" y="21267"/>
                <wp:lineTo x="21574" y="21267"/>
                <wp:lineTo x="21574" y="0"/>
                <wp:lineTo x="0" y="0"/>
              </wp:wrapPolygon>
            </wp:wrapThrough>
            <wp:docPr id="107657532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75325" name="Imagen 8"/>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839075" cy="1276985"/>
                    </a:xfrm>
                    <a:prstGeom prst="rect">
                      <a:avLst/>
                    </a:prstGeom>
                    <a:noFill/>
                    <a:ln>
                      <a:noFill/>
                    </a:ln>
                  </pic:spPr>
                </pic:pic>
              </a:graphicData>
            </a:graphic>
            <wp14:sizeRelH relativeFrom="page">
              <wp14:pctWidth>0</wp14:pctWidth>
            </wp14:sizeRelH>
            <wp14:sizeRelV relativeFrom="page">
              <wp14:pctHeight>0</wp14:pctHeight>
            </wp14:sizeRelV>
          </wp:anchor>
        </w:drawing>
      </w:r>
      <w:r w:rsidR="00534FA0" w:rsidRPr="00CB1BCD">
        <w:rPr>
          <w:rFonts w:cs="Times New Roman"/>
          <w:b/>
          <w:bCs/>
          <w:i/>
          <w:iCs/>
        </w:rPr>
        <w:t>Artículos científicos</w:t>
      </w:r>
    </w:p>
    <w:p w14:paraId="793B0CB4" w14:textId="77777777" w:rsidR="00534FA0" w:rsidRPr="00CB1BCD" w:rsidRDefault="00534FA0" w:rsidP="001C71C2">
      <w:pPr>
        <w:spacing w:line="276" w:lineRule="auto"/>
        <w:rPr>
          <w:rFonts w:cs="Times New Roman"/>
          <w:b/>
        </w:rPr>
      </w:pPr>
    </w:p>
    <w:p w14:paraId="115ABA9B" w14:textId="02807059" w:rsidR="00534FA0" w:rsidRDefault="00534FA0" w:rsidP="001C71C2">
      <w:pPr>
        <w:pStyle w:val="Ttulo"/>
        <w:rPr>
          <w:rFonts w:cs="Times New Roman"/>
          <w:b/>
          <w:color w:val="auto"/>
          <w:sz w:val="24"/>
          <w:szCs w:val="24"/>
        </w:rPr>
      </w:pPr>
    </w:p>
    <w:p w14:paraId="06995FA2" w14:textId="77777777" w:rsidR="00A977E0" w:rsidRPr="00A977E0" w:rsidRDefault="00A977E0" w:rsidP="001C71C2">
      <w:pPr>
        <w:spacing w:line="276" w:lineRule="auto"/>
      </w:pPr>
    </w:p>
    <w:p w14:paraId="79783154" w14:textId="79D8E875" w:rsidR="00C2655B" w:rsidRPr="001C71C2" w:rsidRDefault="000545A2" w:rsidP="001C71C2">
      <w:pPr>
        <w:pStyle w:val="Ttulo"/>
        <w:jc w:val="right"/>
        <w:rPr>
          <w:rFonts w:cs="Times New Roman"/>
          <w:b/>
          <w:color w:val="auto"/>
          <w:sz w:val="32"/>
          <w:szCs w:val="32"/>
        </w:rPr>
      </w:pPr>
      <w:r w:rsidRPr="001C71C2">
        <w:rPr>
          <w:rFonts w:cs="Times New Roman"/>
          <w:b/>
          <w:color w:val="auto"/>
          <w:sz w:val="32"/>
          <w:szCs w:val="32"/>
        </w:rPr>
        <w:t xml:space="preserve">Impuesto al carbono y Curva de Laffer ambiental: </w:t>
      </w:r>
      <w:r w:rsidR="005E3E0B" w:rsidRPr="001C71C2">
        <w:rPr>
          <w:rFonts w:cs="Times New Roman"/>
          <w:b/>
          <w:color w:val="auto"/>
          <w:sz w:val="32"/>
          <w:szCs w:val="32"/>
        </w:rPr>
        <w:t>un análisis teórico aplicado a</w:t>
      </w:r>
      <w:r w:rsidRPr="001C71C2">
        <w:rPr>
          <w:rFonts w:cs="Times New Roman"/>
          <w:b/>
          <w:color w:val="auto"/>
          <w:sz w:val="32"/>
          <w:szCs w:val="32"/>
        </w:rPr>
        <w:t xml:space="preserve"> México</w:t>
      </w:r>
    </w:p>
    <w:p w14:paraId="31C00A58" w14:textId="5B3555F2" w:rsidR="00B70664" w:rsidRPr="001C71C2" w:rsidRDefault="000545A2" w:rsidP="001C71C2">
      <w:pPr>
        <w:pStyle w:val="Ttulo"/>
        <w:jc w:val="right"/>
        <w:rPr>
          <w:rFonts w:cs="Times New Roman"/>
          <w:bCs/>
          <w:i/>
          <w:iCs/>
          <w:color w:val="auto"/>
          <w:sz w:val="28"/>
          <w:szCs w:val="28"/>
          <w:lang w:val="en-US"/>
        </w:rPr>
      </w:pPr>
      <w:r w:rsidRPr="001C71C2">
        <w:rPr>
          <w:rFonts w:cs="Times New Roman"/>
          <w:bCs/>
          <w:i/>
          <w:iCs/>
          <w:color w:val="auto"/>
          <w:sz w:val="28"/>
          <w:szCs w:val="28"/>
          <w:lang w:val="en-US"/>
        </w:rPr>
        <w:t xml:space="preserve">Carbon Tax and Environmental Laffer Curve: </w:t>
      </w:r>
      <w:r w:rsidR="005E3E0B" w:rsidRPr="001C71C2">
        <w:rPr>
          <w:rFonts w:cs="Times New Roman"/>
          <w:bCs/>
          <w:i/>
          <w:iCs/>
          <w:color w:val="auto"/>
          <w:sz w:val="28"/>
          <w:szCs w:val="28"/>
          <w:lang w:val="en-US"/>
        </w:rPr>
        <w:t xml:space="preserve">A theoretical analysis applied to </w:t>
      </w:r>
      <w:r w:rsidRPr="001C71C2">
        <w:rPr>
          <w:rFonts w:cs="Times New Roman"/>
          <w:bCs/>
          <w:i/>
          <w:iCs/>
          <w:color w:val="auto"/>
          <w:sz w:val="28"/>
          <w:szCs w:val="28"/>
          <w:lang w:val="en-US"/>
        </w:rPr>
        <w:t>Mexico</w:t>
      </w:r>
    </w:p>
    <w:p w14:paraId="13AC51F3" w14:textId="77777777" w:rsidR="00956B0C" w:rsidRPr="001C71C2" w:rsidRDefault="00956B0C" w:rsidP="001C71C2">
      <w:pPr>
        <w:spacing w:line="276" w:lineRule="auto"/>
        <w:rPr>
          <w:sz w:val="28"/>
          <w:szCs w:val="28"/>
          <w:lang w:val="en-US"/>
        </w:rPr>
      </w:pPr>
    </w:p>
    <w:p w14:paraId="5EAFE80F" w14:textId="77777777" w:rsidR="00956B0C" w:rsidRPr="00956B0C" w:rsidRDefault="00956B0C" w:rsidP="001C71C2">
      <w:pPr>
        <w:spacing w:line="276" w:lineRule="auto"/>
        <w:rPr>
          <w:lang w:val="en-US"/>
        </w:rPr>
      </w:pPr>
    </w:p>
    <w:p w14:paraId="239FDB01" w14:textId="5921EAD2" w:rsidR="00CB38AA" w:rsidRPr="00CB1BCD" w:rsidRDefault="00B70664" w:rsidP="001C71C2">
      <w:pPr>
        <w:spacing w:line="276" w:lineRule="auto"/>
        <w:jc w:val="right"/>
        <w:rPr>
          <w:rFonts w:cs="Times New Roman"/>
          <w:b/>
          <w:lang w:val="es-MX"/>
        </w:rPr>
      </w:pPr>
      <w:r w:rsidRPr="00CB1BCD">
        <w:rPr>
          <w:rFonts w:cs="Times New Roman"/>
          <w:b/>
          <w:lang w:val="es-MX"/>
        </w:rPr>
        <w:t>Jaime Antonio Ruiz Hernández</w:t>
      </w:r>
    </w:p>
    <w:p w14:paraId="053A5A47" w14:textId="28F140E6" w:rsidR="00CB38AA" w:rsidRPr="00CB1BCD" w:rsidRDefault="00CB38AA" w:rsidP="001C71C2">
      <w:pPr>
        <w:spacing w:line="276" w:lineRule="auto"/>
        <w:jc w:val="right"/>
        <w:rPr>
          <w:rFonts w:cs="Times New Roman"/>
          <w:lang w:val="es-MX"/>
        </w:rPr>
      </w:pPr>
      <w:r w:rsidRPr="00CB1BCD">
        <w:rPr>
          <w:rFonts w:cs="Times New Roman"/>
          <w:lang w:val="es-MX"/>
        </w:rPr>
        <w:t>Universidad Juárez del Estado de Durango, México</w:t>
      </w:r>
    </w:p>
    <w:p w14:paraId="4A5381F5" w14:textId="084C87EE" w:rsidR="00CB38AA" w:rsidRPr="00956B0C" w:rsidRDefault="00000000" w:rsidP="001C71C2">
      <w:pPr>
        <w:spacing w:line="276" w:lineRule="auto"/>
        <w:jc w:val="right"/>
        <w:rPr>
          <w:rStyle w:val="Hipervnculo"/>
          <w:rFonts w:cs="Times New Roman"/>
          <w:color w:val="C00000"/>
          <w:u w:val="none"/>
          <w:lang w:val="es-MX"/>
        </w:rPr>
      </w:pPr>
      <w:hyperlink r:id="rId9" w:history="1">
        <w:r w:rsidR="00CB38AA" w:rsidRPr="00956B0C">
          <w:rPr>
            <w:rStyle w:val="Hipervnculo"/>
            <w:rFonts w:cs="Times New Roman"/>
            <w:color w:val="C00000"/>
            <w:u w:val="none"/>
            <w:lang w:val="es-MX"/>
          </w:rPr>
          <w:t>jaime.ruiz@ujed.mx</w:t>
        </w:r>
      </w:hyperlink>
    </w:p>
    <w:p w14:paraId="7B077273" w14:textId="7EFA3820" w:rsidR="00CB38AA" w:rsidRDefault="00000000" w:rsidP="001C71C2">
      <w:pPr>
        <w:spacing w:line="276" w:lineRule="auto"/>
        <w:jc w:val="right"/>
        <w:rPr>
          <w:rFonts w:cs="Times New Roman"/>
        </w:rPr>
      </w:pPr>
      <w:hyperlink r:id="rId10" w:history="1">
        <w:r w:rsidR="00CB38AA" w:rsidRPr="00CB1BCD">
          <w:rPr>
            <w:rStyle w:val="Hipervnculo"/>
            <w:rFonts w:cs="Times New Roman"/>
            <w:color w:val="auto"/>
            <w:u w:val="none"/>
            <w:lang w:val="es-MX"/>
          </w:rPr>
          <w:t>https://orcid.org/0000-0003-2689-6952</w:t>
        </w:r>
      </w:hyperlink>
    </w:p>
    <w:p w14:paraId="312C8F3F" w14:textId="77777777" w:rsidR="00956B0C" w:rsidRPr="00CB1BCD" w:rsidRDefault="00956B0C" w:rsidP="001C71C2">
      <w:pPr>
        <w:spacing w:line="276" w:lineRule="auto"/>
        <w:jc w:val="right"/>
        <w:rPr>
          <w:rFonts w:cs="Times New Roman"/>
          <w:b/>
          <w:lang w:val="es-MX"/>
        </w:rPr>
      </w:pPr>
    </w:p>
    <w:p w14:paraId="3BE07384" w14:textId="171DA981" w:rsidR="00CB38AA" w:rsidRPr="00CB1BCD" w:rsidRDefault="00B70664" w:rsidP="001C71C2">
      <w:pPr>
        <w:spacing w:line="276" w:lineRule="auto"/>
        <w:jc w:val="right"/>
        <w:rPr>
          <w:rFonts w:cs="Times New Roman"/>
          <w:b/>
          <w:lang w:val="es-MX"/>
        </w:rPr>
      </w:pPr>
      <w:r w:rsidRPr="00CB1BCD">
        <w:rPr>
          <w:rFonts w:cs="Times New Roman"/>
          <w:b/>
          <w:lang w:val="es-MX"/>
        </w:rPr>
        <w:t>Ramiro Martínez Cruz</w:t>
      </w:r>
    </w:p>
    <w:p w14:paraId="67FC71E8" w14:textId="54566C88" w:rsidR="00CB38AA" w:rsidRPr="00CB1BCD" w:rsidRDefault="00CB38AA" w:rsidP="001C71C2">
      <w:pPr>
        <w:spacing w:line="276" w:lineRule="auto"/>
        <w:jc w:val="right"/>
        <w:rPr>
          <w:rFonts w:cs="Times New Roman"/>
          <w:lang w:val="es-MX"/>
        </w:rPr>
      </w:pPr>
      <w:r w:rsidRPr="00CB1BCD">
        <w:rPr>
          <w:rFonts w:cs="Times New Roman"/>
          <w:lang w:val="es-MX"/>
        </w:rPr>
        <w:t>Universidad Politécnica de Texcoco, México</w:t>
      </w:r>
    </w:p>
    <w:p w14:paraId="62752F29" w14:textId="4D88466D" w:rsidR="00CB38AA" w:rsidRPr="00956B0C" w:rsidRDefault="00000000" w:rsidP="001C71C2">
      <w:pPr>
        <w:spacing w:line="276" w:lineRule="auto"/>
        <w:jc w:val="right"/>
        <w:rPr>
          <w:rStyle w:val="Hipervnculo"/>
          <w:rFonts w:cs="Times New Roman"/>
          <w:color w:val="C00000"/>
          <w:u w:val="none"/>
          <w:lang w:val="es-MX"/>
        </w:rPr>
      </w:pPr>
      <w:hyperlink r:id="rId11" w:history="1">
        <w:r w:rsidR="00CB38AA" w:rsidRPr="00956B0C">
          <w:rPr>
            <w:rStyle w:val="Hipervnculo"/>
            <w:rFonts w:cs="Times New Roman"/>
            <w:color w:val="C00000"/>
            <w:u w:val="none"/>
            <w:lang w:val="es-MX"/>
          </w:rPr>
          <w:t>ramiro.martinez@uptex.edu.mx</w:t>
        </w:r>
      </w:hyperlink>
    </w:p>
    <w:p w14:paraId="0002B472" w14:textId="0AC3F88A" w:rsidR="00CB38AA" w:rsidRDefault="00000000" w:rsidP="001C71C2">
      <w:pPr>
        <w:spacing w:line="276" w:lineRule="auto"/>
        <w:jc w:val="right"/>
        <w:rPr>
          <w:rFonts w:cs="Times New Roman"/>
        </w:rPr>
      </w:pPr>
      <w:hyperlink r:id="rId12" w:tgtFrame="_blank" w:history="1">
        <w:r w:rsidR="00CB38AA" w:rsidRPr="00CB1BCD">
          <w:rPr>
            <w:rStyle w:val="Hipervnculo"/>
            <w:rFonts w:cs="Times New Roman"/>
            <w:color w:val="auto"/>
            <w:u w:val="none"/>
          </w:rPr>
          <w:t>https://orcid.org/0000-0003-3028-0464</w:t>
        </w:r>
      </w:hyperlink>
    </w:p>
    <w:p w14:paraId="6F54E4B7" w14:textId="77777777" w:rsidR="00956B0C" w:rsidRPr="00CB1BCD" w:rsidRDefault="00956B0C" w:rsidP="001C71C2">
      <w:pPr>
        <w:spacing w:line="276" w:lineRule="auto"/>
        <w:jc w:val="right"/>
        <w:rPr>
          <w:rFonts w:cs="Times New Roman"/>
          <w:b/>
          <w:lang w:val="es-MX"/>
        </w:rPr>
      </w:pPr>
    </w:p>
    <w:p w14:paraId="52328F3F" w14:textId="1B226C59" w:rsidR="00CB38AA" w:rsidRPr="00CB1BCD" w:rsidRDefault="00B70664" w:rsidP="001C71C2">
      <w:pPr>
        <w:spacing w:line="276" w:lineRule="auto"/>
        <w:jc w:val="right"/>
        <w:rPr>
          <w:rFonts w:cs="Times New Roman"/>
          <w:b/>
          <w:lang w:val="es-MX"/>
        </w:rPr>
      </w:pPr>
      <w:r w:rsidRPr="00CB1BCD">
        <w:rPr>
          <w:rFonts w:cs="Times New Roman"/>
          <w:b/>
          <w:lang w:val="es-MX"/>
        </w:rPr>
        <w:t>Samuel Rivera</w:t>
      </w:r>
      <w:r w:rsidR="004703EC" w:rsidRPr="00CB1BCD">
        <w:rPr>
          <w:rFonts w:cs="Times New Roman"/>
          <w:b/>
          <w:lang w:val="es-MX"/>
        </w:rPr>
        <w:t xml:space="preserve"> López</w:t>
      </w:r>
    </w:p>
    <w:p w14:paraId="12A35E3D" w14:textId="39B2CD24" w:rsidR="00CB38AA" w:rsidRPr="00CB1BCD" w:rsidRDefault="00CB38AA" w:rsidP="001C71C2">
      <w:pPr>
        <w:spacing w:line="276" w:lineRule="auto"/>
        <w:jc w:val="right"/>
        <w:rPr>
          <w:rFonts w:cs="Times New Roman"/>
          <w:lang w:val="es-MX"/>
        </w:rPr>
      </w:pPr>
      <w:r w:rsidRPr="00CB1BCD">
        <w:rPr>
          <w:rFonts w:cs="Times New Roman"/>
          <w:lang w:val="es-MX"/>
        </w:rPr>
        <w:t>Universidad Autónoma Chapingo, México</w:t>
      </w:r>
    </w:p>
    <w:p w14:paraId="1B74BBD1" w14:textId="53983281" w:rsidR="00CB38AA" w:rsidRPr="00956B0C" w:rsidRDefault="00000000" w:rsidP="001C71C2">
      <w:pPr>
        <w:spacing w:line="276" w:lineRule="auto"/>
        <w:jc w:val="right"/>
        <w:rPr>
          <w:rStyle w:val="Hipervnculo"/>
          <w:rFonts w:cs="Times New Roman"/>
          <w:color w:val="C00000"/>
          <w:u w:val="none"/>
          <w:lang w:val="es-MX"/>
        </w:rPr>
      </w:pPr>
      <w:hyperlink r:id="rId13" w:history="1">
        <w:r w:rsidR="00CB38AA" w:rsidRPr="00956B0C">
          <w:rPr>
            <w:rStyle w:val="Hipervnculo"/>
            <w:rFonts w:cs="Times New Roman"/>
            <w:color w:val="C00000"/>
            <w:u w:val="none"/>
            <w:lang w:val="es-MX"/>
          </w:rPr>
          <w:t>sriveral@chapingo.mx</w:t>
        </w:r>
      </w:hyperlink>
    </w:p>
    <w:p w14:paraId="10D6581B" w14:textId="387C6AB3" w:rsidR="00CB38AA" w:rsidRDefault="00000000" w:rsidP="001C71C2">
      <w:pPr>
        <w:spacing w:line="276" w:lineRule="auto"/>
        <w:jc w:val="right"/>
        <w:rPr>
          <w:rFonts w:cs="Times New Roman"/>
        </w:rPr>
      </w:pPr>
      <w:hyperlink r:id="rId14" w:history="1">
        <w:r w:rsidR="00CB38AA" w:rsidRPr="00CB1BCD">
          <w:rPr>
            <w:rStyle w:val="Hipervnculo"/>
            <w:rFonts w:cs="Times New Roman"/>
            <w:color w:val="auto"/>
            <w:u w:val="none"/>
          </w:rPr>
          <w:t>https://orcid.org/0000-0002-3879-2782</w:t>
        </w:r>
      </w:hyperlink>
    </w:p>
    <w:p w14:paraId="28020C1E" w14:textId="77777777" w:rsidR="00956B0C" w:rsidRPr="00CB1BCD" w:rsidRDefault="00956B0C" w:rsidP="001C71C2">
      <w:pPr>
        <w:spacing w:line="276" w:lineRule="auto"/>
        <w:jc w:val="right"/>
        <w:rPr>
          <w:rFonts w:cs="Times New Roman"/>
          <w:b/>
          <w:lang w:val="es-MX"/>
        </w:rPr>
      </w:pPr>
    </w:p>
    <w:p w14:paraId="418B1D30" w14:textId="18162C66" w:rsidR="00B70664" w:rsidRPr="00CB1BCD" w:rsidRDefault="00B70664" w:rsidP="001C71C2">
      <w:pPr>
        <w:spacing w:line="276" w:lineRule="auto"/>
        <w:jc w:val="right"/>
        <w:rPr>
          <w:rFonts w:cs="Times New Roman"/>
          <w:b/>
          <w:lang w:val="es-MX"/>
        </w:rPr>
      </w:pPr>
      <w:r w:rsidRPr="00CB1BCD">
        <w:rPr>
          <w:rFonts w:cs="Times New Roman"/>
          <w:b/>
          <w:lang w:val="es-MX"/>
        </w:rPr>
        <w:t>Rafael Rodríguez</w:t>
      </w:r>
      <w:r w:rsidR="00911958" w:rsidRPr="00CB1BCD">
        <w:rPr>
          <w:rFonts w:cs="Times New Roman"/>
          <w:b/>
          <w:lang w:val="es-MX"/>
        </w:rPr>
        <w:t xml:space="preserve"> Vázquez</w:t>
      </w:r>
    </w:p>
    <w:p w14:paraId="25B1F097" w14:textId="73617264" w:rsidR="00CB38AA" w:rsidRPr="00CB1BCD" w:rsidRDefault="00CB38AA" w:rsidP="001C71C2">
      <w:pPr>
        <w:spacing w:line="276" w:lineRule="auto"/>
        <w:jc w:val="right"/>
        <w:rPr>
          <w:rFonts w:cs="Times New Roman"/>
          <w:lang w:val="es-MX"/>
        </w:rPr>
      </w:pPr>
      <w:r w:rsidRPr="00CB1BCD">
        <w:rPr>
          <w:rFonts w:cs="Times New Roman"/>
          <w:lang w:val="es-MX"/>
        </w:rPr>
        <w:t>Universidad Juárez del Estado de Durango, México</w:t>
      </w:r>
    </w:p>
    <w:p w14:paraId="7C6E53B8" w14:textId="62557798" w:rsidR="00401AA7" w:rsidRPr="00956B0C" w:rsidRDefault="00000000" w:rsidP="001C71C2">
      <w:pPr>
        <w:spacing w:line="276" w:lineRule="auto"/>
        <w:jc w:val="right"/>
        <w:rPr>
          <w:rStyle w:val="Hipervnculo"/>
          <w:rFonts w:cs="Times New Roman"/>
          <w:color w:val="C00000"/>
          <w:u w:val="none"/>
          <w:lang w:val="es-MX"/>
        </w:rPr>
      </w:pPr>
      <w:hyperlink r:id="rId15" w:history="1">
        <w:r w:rsidR="00401AA7" w:rsidRPr="00956B0C">
          <w:rPr>
            <w:rStyle w:val="Hipervnculo"/>
            <w:rFonts w:cs="Times New Roman"/>
            <w:color w:val="C00000"/>
            <w:u w:val="none"/>
            <w:lang w:val="es-MX"/>
          </w:rPr>
          <w:t>rafael.rodriguez@ujed.mx</w:t>
        </w:r>
      </w:hyperlink>
    </w:p>
    <w:p w14:paraId="03D9FC22" w14:textId="5CAA45C5" w:rsidR="00401AA7" w:rsidRDefault="00000000" w:rsidP="001C71C2">
      <w:pPr>
        <w:spacing w:line="276" w:lineRule="auto"/>
        <w:jc w:val="right"/>
        <w:rPr>
          <w:rFonts w:cs="Times New Roman"/>
        </w:rPr>
      </w:pPr>
      <w:hyperlink r:id="rId16" w:history="1">
        <w:r w:rsidR="00401AA7" w:rsidRPr="00CB1BCD">
          <w:rPr>
            <w:rStyle w:val="Hipervnculo"/>
            <w:rFonts w:cs="Times New Roman"/>
            <w:color w:val="auto"/>
            <w:u w:val="none"/>
            <w:lang w:val="es-MX"/>
          </w:rPr>
          <w:t>https://orcid.org/0009-0006-0273-3154</w:t>
        </w:r>
      </w:hyperlink>
    </w:p>
    <w:p w14:paraId="00A5AC66" w14:textId="77777777" w:rsidR="00956B0C" w:rsidRDefault="00956B0C" w:rsidP="001C71C2">
      <w:pPr>
        <w:spacing w:line="276" w:lineRule="auto"/>
        <w:jc w:val="right"/>
        <w:rPr>
          <w:rFonts w:cs="Times New Roman"/>
        </w:rPr>
      </w:pPr>
    </w:p>
    <w:p w14:paraId="3EEF6BAB" w14:textId="77777777" w:rsidR="00956B0C" w:rsidRPr="00CB1BCD" w:rsidRDefault="00956B0C" w:rsidP="001C71C2">
      <w:pPr>
        <w:spacing w:line="276" w:lineRule="auto"/>
        <w:jc w:val="right"/>
        <w:rPr>
          <w:rFonts w:cs="Times New Roman"/>
          <w:lang w:val="es-MX"/>
        </w:rPr>
      </w:pPr>
    </w:p>
    <w:p w14:paraId="6222C86D" w14:textId="77777777" w:rsidR="00401AA7" w:rsidRPr="00CB1BCD" w:rsidRDefault="00401AA7" w:rsidP="00CB1BCD">
      <w:pPr>
        <w:spacing w:line="240" w:lineRule="auto"/>
        <w:jc w:val="right"/>
        <w:rPr>
          <w:rFonts w:cs="Times New Roman"/>
          <w:lang w:val="es-MX"/>
        </w:rPr>
      </w:pPr>
    </w:p>
    <w:p w14:paraId="33B32094" w14:textId="10CC8CF0" w:rsidR="00C2655B" w:rsidRPr="00CB1BCD" w:rsidRDefault="00C2655B" w:rsidP="001C71C2">
      <w:pPr>
        <w:pStyle w:val="Ttulo1"/>
        <w:spacing w:line="360" w:lineRule="auto"/>
        <w:jc w:val="left"/>
        <w:rPr>
          <w:rFonts w:cs="Times New Roman"/>
          <w:b/>
          <w:color w:val="auto"/>
          <w:sz w:val="24"/>
          <w:szCs w:val="24"/>
          <w:lang w:val="es-ES_tradnl"/>
        </w:rPr>
      </w:pPr>
      <w:r w:rsidRPr="00CB1BCD">
        <w:rPr>
          <w:rFonts w:cs="Times New Roman"/>
          <w:b/>
          <w:color w:val="auto"/>
          <w:sz w:val="24"/>
          <w:szCs w:val="24"/>
          <w:lang w:val="es-ES_tradnl"/>
        </w:rPr>
        <w:t>Resumen</w:t>
      </w:r>
    </w:p>
    <w:p w14:paraId="2E313031" w14:textId="7918DB23" w:rsidR="00690012" w:rsidRDefault="00526B8E" w:rsidP="001C71C2">
      <w:pPr>
        <w:rPr>
          <w:rFonts w:cs="Times New Roman"/>
        </w:rPr>
      </w:pPr>
      <w:r w:rsidRPr="00CB1BCD">
        <w:rPr>
          <w:rFonts w:cs="Times New Roman"/>
        </w:rPr>
        <w:t xml:space="preserve">El objetivo del presente estudio fue analizar el impuesto al carbono en México mediante un enfoque teórico-matemático que vincula la tributación pigouviana con la Curva de Laffer ambiental. Para ello, se construyó una simulación calibrada de forma reducida con parámetros del </w:t>
      </w:r>
      <w:proofErr w:type="spellStart"/>
      <w:r w:rsidRPr="00CB1BCD">
        <w:rPr>
          <w:rFonts w:cs="Times New Roman"/>
          <w:i/>
          <w:iCs/>
        </w:rPr>
        <w:t>Carbon</w:t>
      </w:r>
      <w:proofErr w:type="spellEnd"/>
      <w:r w:rsidRPr="00CB1BCD">
        <w:rPr>
          <w:rFonts w:cs="Times New Roman"/>
          <w:i/>
          <w:iCs/>
        </w:rPr>
        <w:t xml:space="preserve"> </w:t>
      </w:r>
      <w:proofErr w:type="spellStart"/>
      <w:r w:rsidRPr="00CB1BCD">
        <w:rPr>
          <w:rFonts w:cs="Times New Roman"/>
          <w:i/>
          <w:iCs/>
        </w:rPr>
        <w:t>Pricing</w:t>
      </w:r>
      <w:proofErr w:type="spellEnd"/>
      <w:r w:rsidRPr="00CB1BCD">
        <w:rPr>
          <w:rFonts w:cs="Times New Roman"/>
          <w:i/>
          <w:iCs/>
        </w:rPr>
        <w:t xml:space="preserve"> </w:t>
      </w:r>
      <w:proofErr w:type="spellStart"/>
      <w:r w:rsidRPr="00CB1BCD">
        <w:rPr>
          <w:rFonts w:cs="Times New Roman"/>
          <w:i/>
          <w:iCs/>
        </w:rPr>
        <w:t>Assessment</w:t>
      </w:r>
      <w:proofErr w:type="spellEnd"/>
      <w:r w:rsidRPr="00CB1BCD">
        <w:rPr>
          <w:rFonts w:cs="Times New Roman"/>
          <w:i/>
          <w:iCs/>
        </w:rPr>
        <w:t xml:space="preserve"> Tool</w:t>
      </w:r>
      <w:r w:rsidRPr="00CB1BCD">
        <w:rPr>
          <w:rFonts w:cs="Times New Roman"/>
        </w:rPr>
        <w:t xml:space="preserve"> del Fondo Monetario Internacional para México. El modelo estimó la relación entre precio al </w:t>
      </w:r>
      <w:r w:rsidRPr="00CB1BCD">
        <w:rPr>
          <w:rFonts w:cs="Times New Roman"/>
        </w:rPr>
        <w:lastRenderedPageBreak/>
        <w:t xml:space="preserve">carbono, emisiones remanentes, recaudación potencial y bienestar parcial bajo distintos escenarios de política fiscal ambiental. Bajo los supuestos de la simulación, los resultados muestran que, en niveles moderados de precio, </w:t>
      </w:r>
      <w:r w:rsidR="001A7DE0" w:rsidRPr="00CB1BCD">
        <w:rPr>
          <w:rFonts w:cs="Times New Roman"/>
        </w:rPr>
        <w:t xml:space="preserve">la </w:t>
      </w:r>
      <w:r w:rsidR="00C030A4" w:rsidRPr="00CB1BCD">
        <w:rPr>
          <w:rFonts w:cs="Times New Roman"/>
        </w:rPr>
        <w:t>función calibrada se</w:t>
      </w:r>
      <w:r w:rsidR="001A7DE0" w:rsidRPr="00CB1BCD">
        <w:rPr>
          <w:rFonts w:cs="Times New Roman"/>
        </w:rPr>
        <w:t xml:space="preserve"> ubica </w:t>
      </w:r>
      <w:r w:rsidRPr="00CB1BCD">
        <w:rPr>
          <w:rFonts w:cs="Times New Roman"/>
        </w:rPr>
        <w:t xml:space="preserve">en el tramo ascendente de la Curva de Laffer ambiental, por lo que la recaudación potencial aumenta mientras las emisiones disminuyen. No obstante, el máximo recaudatorio no coincide necesariamente con el mayor bienestar parcial, lo que </w:t>
      </w:r>
      <w:r w:rsidR="001A7DE0" w:rsidRPr="00CB1BCD">
        <w:rPr>
          <w:rFonts w:cs="Times New Roman"/>
        </w:rPr>
        <w:t>permite distinguir</w:t>
      </w:r>
      <w:r w:rsidRPr="00CB1BCD">
        <w:rPr>
          <w:rFonts w:cs="Times New Roman"/>
        </w:rPr>
        <w:t xml:space="preserve"> entre un criterio fiscal y un criterio pigouviano. Asimismo, el reciclaje de ingresos, entendido como la reasignación de una proporción de la recaudación, modifica la evaluación del instrumento al ampliar el rango de escenarios compatibles con bienestar parcial positivo. Se concluye que el impuesto al carbono en México debe analizarse como un instrumento de corrección ambiental cuyo desempeño depende del nivel del precio, la respuesta de la base contaminante y el uso institucional de la recaudación</w:t>
      </w:r>
      <w:r w:rsidR="00282629" w:rsidRPr="00CB1BCD">
        <w:rPr>
          <w:rFonts w:cs="Times New Roman"/>
        </w:rPr>
        <w:t>.</w:t>
      </w:r>
    </w:p>
    <w:p w14:paraId="38B79915" w14:textId="77777777" w:rsidR="00956B0C" w:rsidRPr="00CB1BCD" w:rsidRDefault="00956B0C" w:rsidP="001C71C2">
      <w:pPr>
        <w:rPr>
          <w:rFonts w:cs="Times New Roman"/>
        </w:rPr>
      </w:pPr>
    </w:p>
    <w:p w14:paraId="753359C0" w14:textId="2B5FE09C" w:rsidR="00282629" w:rsidRDefault="00282629" w:rsidP="001C71C2">
      <w:pPr>
        <w:rPr>
          <w:rFonts w:cs="Times New Roman"/>
        </w:rPr>
      </w:pPr>
      <w:r w:rsidRPr="00CB1BCD">
        <w:rPr>
          <w:rFonts w:cs="Times New Roman"/>
          <w:b/>
          <w:bCs/>
        </w:rPr>
        <w:t xml:space="preserve">Palabras clave: </w:t>
      </w:r>
      <w:r w:rsidRPr="00CB1BCD">
        <w:rPr>
          <w:rFonts w:cs="Times New Roman"/>
        </w:rPr>
        <w:t>impuesto al carbono; Curva de Laffer ambiental; tributación pigouviana; recaudación potencial; México.</w:t>
      </w:r>
    </w:p>
    <w:p w14:paraId="0763B99E" w14:textId="77777777" w:rsidR="00956B0C" w:rsidRPr="00CB1BCD" w:rsidRDefault="00956B0C" w:rsidP="001C71C2">
      <w:pPr>
        <w:rPr>
          <w:rFonts w:cs="Times New Roman"/>
          <w:lang w:val="es-ES_tradnl"/>
        </w:rPr>
      </w:pPr>
    </w:p>
    <w:p w14:paraId="5E710AE5" w14:textId="77777777" w:rsidR="00C2655B" w:rsidRPr="00CB1BCD" w:rsidRDefault="00C2655B" w:rsidP="001C71C2">
      <w:pPr>
        <w:pStyle w:val="Ttulo1"/>
        <w:spacing w:line="360" w:lineRule="auto"/>
        <w:jc w:val="left"/>
        <w:rPr>
          <w:rFonts w:cs="Times New Roman"/>
          <w:b/>
          <w:color w:val="auto"/>
          <w:sz w:val="24"/>
          <w:szCs w:val="24"/>
          <w:lang w:val="en-US"/>
        </w:rPr>
      </w:pPr>
      <w:r w:rsidRPr="00CB1BCD">
        <w:rPr>
          <w:rFonts w:cs="Times New Roman"/>
          <w:b/>
          <w:color w:val="auto"/>
          <w:sz w:val="24"/>
          <w:szCs w:val="24"/>
          <w:lang w:val="en-US"/>
        </w:rPr>
        <w:t>Abstract</w:t>
      </w:r>
    </w:p>
    <w:p w14:paraId="0FC35A68" w14:textId="04B9B254" w:rsidR="00C2655B" w:rsidRDefault="00C030A4" w:rsidP="001C71C2">
      <w:pPr>
        <w:rPr>
          <w:rFonts w:cs="Times New Roman"/>
          <w:lang w:val="en-US"/>
        </w:rPr>
      </w:pPr>
      <w:r w:rsidRPr="00CB1BCD">
        <w:rPr>
          <w:rFonts w:cs="Times New Roman"/>
          <w:lang w:val="en-US"/>
        </w:rPr>
        <w:t xml:space="preserve">The objective of this study was to analyze the carbon tax in Mexico through a theoretical-mathematical approach that links Pigouvian taxation with the environmental Laffer curve. To this end, a calibrated reduced-form simulation was constructed using parameters from the International Monetary Fund’s </w:t>
      </w:r>
      <w:r w:rsidRPr="00CB1BCD">
        <w:rPr>
          <w:rFonts w:cs="Times New Roman"/>
          <w:i/>
          <w:iCs/>
          <w:lang w:val="en-US"/>
        </w:rPr>
        <w:t>Carbon Pricing Assessment Tool</w:t>
      </w:r>
      <w:r w:rsidRPr="00CB1BCD">
        <w:rPr>
          <w:rFonts w:cs="Times New Roman"/>
          <w:lang w:val="en-US"/>
        </w:rPr>
        <w:t xml:space="preserve"> for Mexico. The model estimated the relationship among carbon pricing, remaining emissions, potential revenue, and partial welfare under alternative environmental fiscal policy scenarios. Under the assumptions of the simulation, the results show that, at moderate price levels, the calibrated function lies on the upward-sloping segment of the environmental Laffer curve; consequently, potential revenue increases while emissions decline. However, the revenue-maximizing price does not necessarily coincide with the highest partial welfare outcome, allowing for a distinction between a fiscal criterion and a Pigouvian criterion. Furthermore, revenue recycling—understood as the reallocation of a proportion of tax revenue—modifies the assessment of the instrument by expanding the range of scenarios compatible with positive partial welfare. The study concludes that the carbon tax in Mexico should be analyzed as an environmental policy instrument designed to correct externalities, whose performance depends on the price level, the response of the emissions base, and the institutional use of the revenue generated</w:t>
      </w:r>
      <w:r w:rsidR="00282629" w:rsidRPr="00CB1BCD">
        <w:rPr>
          <w:rFonts w:cs="Times New Roman"/>
          <w:lang w:val="en-US"/>
        </w:rPr>
        <w:t>.</w:t>
      </w:r>
    </w:p>
    <w:p w14:paraId="5471E26C" w14:textId="77777777" w:rsidR="00956B0C" w:rsidRPr="00CB1BCD" w:rsidRDefault="00956B0C" w:rsidP="001C71C2">
      <w:pPr>
        <w:rPr>
          <w:rFonts w:cs="Times New Roman"/>
          <w:lang w:val="en-US"/>
        </w:rPr>
      </w:pPr>
    </w:p>
    <w:p w14:paraId="1DE60546" w14:textId="77777777" w:rsidR="001C71C2" w:rsidRDefault="00282629" w:rsidP="001C71C2">
      <w:pPr>
        <w:keepNext/>
        <w:keepLines/>
        <w:tabs>
          <w:tab w:val="left" w:pos="709"/>
          <w:tab w:val="left" w:pos="851"/>
          <w:tab w:val="left" w:pos="1134"/>
        </w:tabs>
        <w:outlineLvl w:val="0"/>
        <w:rPr>
          <w:rFonts w:cs="Times New Roman"/>
          <w:lang w:val="en-US"/>
        </w:rPr>
      </w:pPr>
      <w:r w:rsidRPr="00CB1BCD">
        <w:rPr>
          <w:rFonts w:cs="Times New Roman"/>
          <w:b/>
          <w:bCs/>
          <w:lang w:val="en-US"/>
        </w:rPr>
        <w:lastRenderedPageBreak/>
        <w:t>Keywords:</w:t>
      </w:r>
      <w:r w:rsidRPr="00CB1BCD">
        <w:rPr>
          <w:rFonts w:cs="Times New Roman"/>
          <w:lang w:val="en-US"/>
        </w:rPr>
        <w:t xml:space="preserve"> carbon tax; environmental Laffer Curve; Pigouvian taxation; potential revenue; Mexico.</w:t>
      </w:r>
    </w:p>
    <w:p w14:paraId="4F12E3BD" w14:textId="77777777" w:rsidR="001C71C2" w:rsidRDefault="001C71C2" w:rsidP="001C71C2">
      <w:pPr>
        <w:keepNext/>
        <w:keepLines/>
        <w:tabs>
          <w:tab w:val="left" w:pos="709"/>
          <w:tab w:val="left" w:pos="851"/>
          <w:tab w:val="left" w:pos="1134"/>
        </w:tabs>
        <w:outlineLvl w:val="0"/>
        <w:rPr>
          <w:rFonts w:cs="Times New Roman"/>
          <w:b/>
        </w:rPr>
      </w:pPr>
    </w:p>
    <w:p w14:paraId="1C651F6E" w14:textId="77777777" w:rsidR="001C71C2" w:rsidRDefault="001C71C2" w:rsidP="001C71C2">
      <w:pPr>
        <w:keepNext/>
        <w:keepLines/>
        <w:tabs>
          <w:tab w:val="left" w:pos="709"/>
          <w:tab w:val="left" w:pos="851"/>
          <w:tab w:val="left" w:pos="1134"/>
        </w:tabs>
        <w:outlineLvl w:val="0"/>
        <w:rPr>
          <w:rFonts w:cs="Times New Roman"/>
          <w:b/>
        </w:rPr>
      </w:pPr>
      <w:r w:rsidRPr="00BA2ABA">
        <w:rPr>
          <w:rFonts w:cs="Times New Roman"/>
          <w:b/>
        </w:rPr>
        <w:t xml:space="preserve">Fecha Recepción: abril 2026                                                Fecha Aceptación: </w:t>
      </w:r>
      <w:r>
        <w:rPr>
          <w:rFonts w:cs="Times New Roman"/>
          <w:b/>
        </w:rPr>
        <w:t>j</w:t>
      </w:r>
      <w:r w:rsidRPr="00BA2ABA">
        <w:rPr>
          <w:rFonts w:cs="Times New Roman"/>
          <w:b/>
        </w:rPr>
        <w:t>ulio 2026</w:t>
      </w:r>
    </w:p>
    <w:p w14:paraId="6E737FFF" w14:textId="77777777" w:rsidR="001C71C2" w:rsidRPr="000B2198" w:rsidRDefault="001C71C2" w:rsidP="001C71C2">
      <w:pPr>
        <w:keepNext/>
        <w:keepLines/>
        <w:tabs>
          <w:tab w:val="left" w:pos="709"/>
          <w:tab w:val="left" w:pos="851"/>
          <w:tab w:val="left" w:pos="1134"/>
        </w:tabs>
        <w:outlineLvl w:val="0"/>
        <w:rPr>
          <w:rFonts w:cs="Times New Roman"/>
          <w:b/>
        </w:rPr>
      </w:pPr>
      <w:r>
        <w:rPr>
          <w:rFonts w:cs="Times New Roman"/>
          <w:b/>
          <w:noProof/>
        </w:rPr>
        <mc:AlternateContent>
          <mc:Choice Requires="wps">
            <w:drawing>
              <wp:anchor distT="0" distB="0" distL="114300" distR="114300" simplePos="0" relativeHeight="251666432" behindDoc="0" locked="0" layoutInCell="1" allowOverlap="1" wp14:anchorId="534EF518" wp14:editId="171D8C5D">
                <wp:simplePos x="0" y="0"/>
                <wp:positionH relativeFrom="column">
                  <wp:posOffset>180455</wp:posOffset>
                </wp:positionH>
                <wp:positionV relativeFrom="paragraph">
                  <wp:posOffset>78682</wp:posOffset>
                </wp:positionV>
                <wp:extent cx="6227619" cy="13855"/>
                <wp:effectExtent l="0" t="0" r="20955" b="24765"/>
                <wp:wrapNone/>
                <wp:docPr id="503696922" name="Conector recto 2"/>
                <wp:cNvGraphicFramePr/>
                <a:graphic xmlns:a="http://schemas.openxmlformats.org/drawingml/2006/main">
                  <a:graphicData uri="http://schemas.microsoft.com/office/word/2010/wordprocessingShape">
                    <wps:wsp>
                      <wps:cNvCnPr/>
                      <wps:spPr>
                        <a:xfrm flipV="1">
                          <a:off x="0" y="0"/>
                          <a:ext cx="6227619" cy="138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843782" id="Conector recto 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pt,6.2pt" to="504.5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" strokecolor="#3494ba [3204]" strokeweight=".5pt">
                <v:stroke joinstyle="miter"/>
              </v:line>
            </w:pict>
          </mc:Fallback>
        </mc:AlternateContent>
      </w:r>
    </w:p>
    <w:p w14:paraId="546FF26A" w14:textId="30082553" w:rsidR="00C2655B" w:rsidRPr="001C71C2" w:rsidRDefault="00C2655B" w:rsidP="001C71C2">
      <w:pPr>
        <w:pStyle w:val="Ttulo1"/>
        <w:spacing w:line="360" w:lineRule="auto"/>
        <w:jc w:val="center"/>
        <w:rPr>
          <w:rFonts w:cs="Times New Roman"/>
          <w:b/>
          <w:color w:val="auto"/>
          <w:sz w:val="32"/>
          <w:szCs w:val="32"/>
          <w:lang w:val="es-ES_tradnl"/>
        </w:rPr>
      </w:pPr>
      <w:r w:rsidRPr="001C71C2">
        <w:rPr>
          <w:rFonts w:cs="Times New Roman"/>
          <w:b/>
          <w:color w:val="auto"/>
          <w:sz w:val="32"/>
          <w:szCs w:val="32"/>
          <w:lang w:val="es-ES_tradnl"/>
        </w:rPr>
        <w:t>Introducción</w:t>
      </w:r>
    </w:p>
    <w:p w14:paraId="1C10EB92" w14:textId="070EFA5A" w:rsidR="00833E1B" w:rsidRDefault="00833E1B" w:rsidP="001C71C2">
      <w:pPr>
        <w:ind w:firstLine="708"/>
        <w:rPr>
          <w:rFonts w:cs="Times New Roman"/>
          <w:lang w:val="es-MX"/>
        </w:rPr>
      </w:pPr>
      <w:r w:rsidRPr="00CB1BCD">
        <w:rPr>
          <w:rFonts w:cs="Times New Roman"/>
          <w:lang w:val="es-MX"/>
        </w:rPr>
        <w:t>El cambio climático representa una de las externalidades ambientales negativas más relevantes asociadas al crecimiento económico, la producción energética y el consumo de combustibles fósiles. Cuando el precio de dichos combustibles no refleja el daño ambiental generado por sus emisiones, las decisiones privadas de producción y consumo se toman con base en costos inferiores a los costos sociales. Esta divergencia entre costo privado y costo social justifica el uso de instrumentos económicos orientados a modificar los incentivos de los agentes y a incorporar el daño ambiental dentro del sistema de precios</w:t>
      </w:r>
      <w:r w:rsidR="00DC47AB" w:rsidRPr="00CB1BCD">
        <w:rPr>
          <w:rFonts w:cs="Times New Roman"/>
          <w:lang w:val="es-MX"/>
        </w:rPr>
        <w:t xml:space="preserve"> </w:t>
      </w:r>
      <w:r w:rsidR="00DC47AB" w:rsidRPr="00CB1BCD">
        <w:rPr>
          <w:rFonts w:cs="Times New Roman"/>
          <w:lang w:val="es-MX"/>
        </w:rPr>
        <w:fldChar w:fldCharType="begin" w:fldLock="1"/>
      </w:r>
      <w:r w:rsidR="002E59B5" w:rsidRPr="00CB1BCD">
        <w:rPr>
          <w:rFonts w:cs="Times New Roman"/>
          <w:lang w:val="es-MX"/>
        </w:rPr>
        <w:instrText>ADDIN CSL_CITATION {"citationItems":[{"id":"ITEM-1","itemData":{"DOI":"10.1016/J.JEEM.2008.02.001","ISSN":"0095-0696","abstract":"Recent studies consider public R&amp;D spending that affects abatement knowledge and endogenous growth, distortionary taxes that affect capital formation, pollution taxes that affect environmental degradation, and regeneration that restores natural capital. Our model combines all those elements. The combination affects prior results, focusing on two parameters: the need for distorting taxes, and productivity of abatement knowledge relative to pollution. First, these two extensions can reverse prior findings that pollution tax revenue is always enough to pay for public R&amp;D. Second, tax distortions and externalities alter prior findings that the ratio of public to private capital depends only on output elasticities. Third, dynamics affect prior static findings about other public spending \"crowding out\" environmental public goods. Fourth, a greater need for public spending can lead to greater increases in distorting taxes or pollution taxes. Fifth, greater environmental regulation can mean growth is higher or lower, even if welfare is higher. © 2008 Elsevier Inc. All rights reserved.","author":[{"dropping-particle":"","family":"Fullerton","given":"Don","non-dropping-particle":"","parse-names":false,"suffix":""},{"dropping-particle":"","family":"Kim","given":"Seung Rae","non-dropping-particle":"","parse-names":false,"suffix":""}],"container-title":"Journal of Environmental Economics and Management","id":"ITEM-1","issue":"2","issued":{"date-parts":[["2008","9","1"]]},"page":"141-154","publisher":"Academic Press","title":"Environmental investment and policy with distortionary taxes, and endogenous growth","type":"article-journal","volume":"56"},"uris":["http://www.mendeley.com/documents/?uuid=6d14a22e-c615-393e-99ee-6527ecb2d8c8"]},{"id":"ITEM-2","itemData":{"author":[{"dropping-particle":"","family":"Metcalf","given":"Gilbert E.","non-dropping-particle":"","parse-names":false,"suffix":""}],"container-title":"Review of Environmental Economics and Policy","id":"ITEM-2","issued":{"date-parts":[["2009"]]},"title":"Designing A Carbon Tax to Reduce U.S. Greenhouse Gas Emissions","type":"article-journal"},"uris":["http://www.mendeley.com/documents/?uuid=e8b7d12b-2c36-49ff-abec-74badc86e079"]}],"mendeley":{"formattedCitation":"(Fullerton y Kim, 2008; Metcalf, 2009)","plainTextFormattedCitation":"(Fullerton y Kim, 2008; Metcalf, 2009)","previouslyFormattedCitation":"(Fullerton y Kim, 2008; Metcalf, 2009)"},"properties":{"noteIndex":0},"schema":"https://github.com/citation-style-language/schema/raw/master/csl-citation.json"}</w:instrText>
      </w:r>
      <w:r w:rsidR="00DC47AB" w:rsidRPr="00CB1BCD">
        <w:rPr>
          <w:rFonts w:cs="Times New Roman"/>
          <w:lang w:val="es-MX"/>
        </w:rPr>
        <w:fldChar w:fldCharType="separate"/>
      </w:r>
      <w:r w:rsidR="00DC47AB" w:rsidRPr="00CB1BCD">
        <w:rPr>
          <w:rFonts w:cs="Times New Roman"/>
          <w:noProof/>
          <w:lang w:val="es-MX"/>
        </w:rPr>
        <w:t xml:space="preserve">(Fullerton </w:t>
      </w:r>
      <w:r w:rsidR="001160B8" w:rsidRPr="00CB1BCD">
        <w:rPr>
          <w:rFonts w:cs="Times New Roman"/>
          <w:noProof/>
          <w:lang w:val="es-MX"/>
        </w:rPr>
        <w:t xml:space="preserve">&amp; </w:t>
      </w:r>
      <w:r w:rsidR="00DC47AB" w:rsidRPr="00CB1BCD">
        <w:rPr>
          <w:rFonts w:cs="Times New Roman"/>
          <w:noProof/>
          <w:lang w:val="es-MX"/>
        </w:rPr>
        <w:t>Kim, 2008; Metcalf, 2009)</w:t>
      </w:r>
      <w:r w:rsidR="00DC47AB" w:rsidRPr="00CB1BCD">
        <w:rPr>
          <w:rFonts w:cs="Times New Roman"/>
          <w:lang w:val="es-MX"/>
        </w:rPr>
        <w:fldChar w:fldCharType="end"/>
      </w:r>
      <w:r w:rsidR="002E59B5" w:rsidRPr="00CB1BCD">
        <w:rPr>
          <w:rFonts w:cs="Times New Roman"/>
          <w:lang w:val="es-MX"/>
        </w:rPr>
        <w:t>.</w:t>
      </w:r>
    </w:p>
    <w:p w14:paraId="5157290E" w14:textId="77777777" w:rsidR="00956B0C" w:rsidRPr="00CB1BCD" w:rsidRDefault="00956B0C" w:rsidP="001C71C2">
      <w:pPr>
        <w:ind w:firstLine="708"/>
        <w:rPr>
          <w:rFonts w:cs="Times New Roman"/>
          <w:lang w:val="es-MX"/>
        </w:rPr>
      </w:pPr>
    </w:p>
    <w:p w14:paraId="502A03D9" w14:textId="736E7CC8" w:rsidR="00833E1B" w:rsidRDefault="00833E1B" w:rsidP="001C71C2">
      <w:pPr>
        <w:rPr>
          <w:rFonts w:cs="Times New Roman"/>
          <w:lang w:val="es-MX"/>
        </w:rPr>
      </w:pPr>
      <w:r w:rsidRPr="00CB1BCD">
        <w:rPr>
          <w:rFonts w:cs="Times New Roman"/>
          <w:lang w:val="es-MX"/>
        </w:rPr>
        <w:t xml:space="preserve">Los impuestos ambientales constituyen uno de los mecanismos más utilizados para corregir este tipo de externalidades, debido a que trasladan parte del daño ambiental al precio de la actividad contaminante. Desde el enfoque pigouviano, </w:t>
      </w:r>
      <w:r w:rsidR="00865F96" w:rsidRPr="00CB1BCD">
        <w:rPr>
          <w:rFonts w:cs="Times New Roman"/>
          <w:lang w:val="es-MX"/>
        </w:rPr>
        <w:t>entendido como la corrección de una externalidad mediante un impuesto asociado al daño marginal</w:t>
      </w:r>
      <w:r w:rsidR="007E585F" w:rsidRPr="00CB1BCD">
        <w:rPr>
          <w:rFonts w:cs="Times New Roman"/>
          <w:lang w:val="es-MX"/>
        </w:rPr>
        <w:t xml:space="preserve"> social</w:t>
      </w:r>
      <w:r w:rsidR="00865F96" w:rsidRPr="00CB1BCD">
        <w:rPr>
          <w:rFonts w:cs="Times New Roman"/>
          <w:lang w:val="es-MX"/>
        </w:rPr>
        <w:t xml:space="preserve">, </w:t>
      </w:r>
      <w:r w:rsidRPr="00CB1BCD">
        <w:rPr>
          <w:rFonts w:cs="Times New Roman"/>
          <w:lang w:val="es-MX"/>
        </w:rPr>
        <w:t xml:space="preserve">el </w:t>
      </w:r>
      <w:r w:rsidR="00865F96" w:rsidRPr="00CB1BCD">
        <w:rPr>
          <w:rFonts w:cs="Times New Roman"/>
          <w:lang w:val="es-MX"/>
        </w:rPr>
        <w:t>gravamen</w:t>
      </w:r>
      <w:r w:rsidRPr="00CB1BCD">
        <w:rPr>
          <w:rFonts w:cs="Times New Roman"/>
          <w:lang w:val="es-MX"/>
        </w:rPr>
        <w:t xml:space="preserve"> debe aproximarse al </w:t>
      </w:r>
      <w:r w:rsidR="00865F96" w:rsidRPr="00CB1BCD">
        <w:rPr>
          <w:rFonts w:cs="Times New Roman"/>
          <w:lang w:val="es-MX"/>
        </w:rPr>
        <w:t>costo generado</w:t>
      </w:r>
      <w:r w:rsidRPr="00CB1BCD">
        <w:rPr>
          <w:rFonts w:cs="Times New Roman"/>
          <w:lang w:val="es-MX"/>
        </w:rPr>
        <w:t xml:space="preserve"> </w:t>
      </w:r>
      <w:r w:rsidR="00865F96" w:rsidRPr="00CB1BCD">
        <w:rPr>
          <w:rFonts w:cs="Times New Roman"/>
          <w:lang w:val="es-MX"/>
        </w:rPr>
        <w:t>por</w:t>
      </w:r>
      <w:r w:rsidRPr="00CB1BCD">
        <w:rPr>
          <w:rFonts w:cs="Times New Roman"/>
          <w:lang w:val="es-MX"/>
        </w:rPr>
        <w:t xml:space="preserve"> la contaminación. En el caso del carbono, Metcalf (2009) sostiene que el diseño de un impuesto de esta naturaleza debe partir del daño marginal asociado a una tonelada adicional de CO₂ equivalente, aunque las estimaciones de dicho daño varían según los supuestos climáticos, económicos y distributivos considerados.</w:t>
      </w:r>
    </w:p>
    <w:p w14:paraId="748C38C9" w14:textId="77777777" w:rsidR="00956B0C" w:rsidRPr="00CB1BCD" w:rsidRDefault="00956B0C" w:rsidP="001C71C2">
      <w:pPr>
        <w:rPr>
          <w:rFonts w:cs="Times New Roman"/>
          <w:lang w:val="es-MX"/>
        </w:rPr>
      </w:pPr>
    </w:p>
    <w:p w14:paraId="76E2846E" w14:textId="5107FB37" w:rsidR="00833E1B" w:rsidRDefault="00833E1B" w:rsidP="001C71C2">
      <w:pPr>
        <w:rPr>
          <w:rFonts w:cs="Times New Roman"/>
          <w:lang w:val="es-MX"/>
        </w:rPr>
      </w:pPr>
      <w:r w:rsidRPr="00CB1BCD">
        <w:rPr>
          <w:rFonts w:cs="Times New Roman"/>
          <w:lang w:val="es-MX"/>
        </w:rPr>
        <w:t xml:space="preserve">El impuesto al carbono tiene una característica que lo distingue de los tributos convencionales: su propósito correctivo </w:t>
      </w:r>
      <w:r w:rsidR="00766977" w:rsidRPr="00CB1BCD">
        <w:rPr>
          <w:rFonts w:cs="Times New Roman"/>
          <w:lang w:val="es-MX"/>
        </w:rPr>
        <w:t>busca</w:t>
      </w:r>
      <w:r w:rsidRPr="00CB1BCD">
        <w:rPr>
          <w:rFonts w:cs="Times New Roman"/>
          <w:lang w:val="es-MX"/>
        </w:rPr>
        <w:t xml:space="preserve"> inducir una reducción gradual de la propia base gravable. Mientras que en un impuesto sobre ingreso, consumo o patrimonio una contracción de la base suele interpretarse como un deterioro de la capacidad recaudatoria, en un impuesto ambiental la reducción de la base contaminante puede representar un resultado deseable</w:t>
      </w:r>
      <w:r w:rsidR="00766977" w:rsidRPr="00CB1BCD">
        <w:rPr>
          <w:rFonts w:cs="Times New Roman"/>
          <w:lang w:val="es-MX"/>
        </w:rPr>
        <w:t>, siempre que derive de menores emisiones y no de fallas de cobertura, evasión o sustitución hacia fuentes no gravadas</w:t>
      </w:r>
      <w:r w:rsidRPr="00CB1BCD">
        <w:rPr>
          <w:rFonts w:cs="Times New Roman"/>
          <w:lang w:val="es-MX"/>
        </w:rPr>
        <w:t xml:space="preserve">. Budolfson </w:t>
      </w:r>
      <w:r w:rsidRPr="00CB1BCD">
        <w:rPr>
          <w:rFonts w:cs="Times New Roman"/>
          <w:i/>
          <w:iCs/>
          <w:lang w:val="es-MX"/>
        </w:rPr>
        <w:t>et al</w:t>
      </w:r>
      <w:r w:rsidRPr="00CB1BCD">
        <w:rPr>
          <w:rFonts w:cs="Times New Roman"/>
          <w:lang w:val="es-MX"/>
        </w:rPr>
        <w:t>. (2021) muestran que esta condición modifica la interpretación fiscal del precio al carbono, porque la recaudación puede crecer en una primera etapa y disminuir posteriormente conforme avanza la descarbonización.</w:t>
      </w:r>
    </w:p>
    <w:p w14:paraId="24041D1C" w14:textId="77777777" w:rsidR="00956B0C" w:rsidRPr="00CB1BCD" w:rsidRDefault="00956B0C" w:rsidP="001C71C2">
      <w:pPr>
        <w:rPr>
          <w:rFonts w:cs="Times New Roman"/>
          <w:lang w:val="es-MX"/>
        </w:rPr>
      </w:pPr>
    </w:p>
    <w:p w14:paraId="6AFF5FAD" w14:textId="5A05B9C6" w:rsidR="00833E1B" w:rsidRDefault="00833E1B" w:rsidP="001C71C2">
      <w:pPr>
        <w:rPr>
          <w:rFonts w:cs="Times New Roman"/>
          <w:lang w:val="es-MX"/>
        </w:rPr>
      </w:pPr>
      <w:r w:rsidRPr="00CB1BCD">
        <w:rPr>
          <w:rFonts w:cs="Times New Roman"/>
          <w:lang w:val="es-MX"/>
        </w:rPr>
        <w:lastRenderedPageBreak/>
        <w:t>La Curva de Laffer permite representar la relación no lineal entre tasa impositiva y recaudación</w:t>
      </w:r>
      <w:r w:rsidR="00C503C2" w:rsidRPr="00CB1BCD">
        <w:rPr>
          <w:rFonts w:cs="Times New Roman"/>
          <w:lang w:val="es-MX"/>
        </w:rPr>
        <w:t>, cuya forma empírica depende de la elasticidad de la base gravable</w:t>
      </w:r>
      <w:r w:rsidRPr="00CB1BCD">
        <w:rPr>
          <w:rFonts w:cs="Times New Roman"/>
          <w:lang w:val="es-MX"/>
        </w:rPr>
        <w:t xml:space="preserve">. En su formulación clásica, los ingresos fiscales aumentan inicialmente con la tasa, pero pueden reducirse cuando la carga tributaria contrae la base gravable (Laffer, 2004). En el campo ambiental, esta relación adquiere una lectura distinta: la disminución de la base no necesariamente indica fracaso del instrumento, sino posible reducción de emisiones. </w:t>
      </w:r>
      <w:r w:rsidR="001160B8" w:rsidRPr="00CB1BCD">
        <w:rPr>
          <w:rFonts w:cs="Times New Roman"/>
          <w:lang w:val="es-MX"/>
        </w:rPr>
        <w:t>En consecuencia</w:t>
      </w:r>
      <w:r w:rsidRPr="00CB1BCD">
        <w:rPr>
          <w:rFonts w:cs="Times New Roman"/>
          <w:lang w:val="es-MX"/>
        </w:rPr>
        <w:t xml:space="preserve">, el máximo recaudatorio de un impuesto al carbono no debe confundirse con el precio ambientalmente deseable ni con el nivel que genera mayor bienestar </w:t>
      </w:r>
      <w:r w:rsidR="0092552E" w:rsidRPr="00CB1BCD">
        <w:rPr>
          <w:rFonts w:cs="Times New Roman"/>
          <w:lang w:val="es-MX"/>
        </w:rPr>
        <w:t>parcial</w:t>
      </w:r>
      <w:r w:rsidR="0092552E" w:rsidRPr="00CB1BCD">
        <w:rPr>
          <w:rStyle w:val="Refdenotaalpie"/>
          <w:rFonts w:cs="Times New Roman"/>
          <w:lang w:val="es-MX"/>
        </w:rPr>
        <w:footnoteReference w:id="1"/>
      </w:r>
      <w:r w:rsidRPr="00CB1BCD">
        <w:rPr>
          <w:rFonts w:cs="Times New Roman"/>
          <w:lang w:val="es-MX"/>
        </w:rPr>
        <w:t>.</w:t>
      </w:r>
    </w:p>
    <w:p w14:paraId="66DEFCFB" w14:textId="77777777" w:rsidR="00956B0C" w:rsidRPr="00CB1BCD" w:rsidRDefault="00956B0C" w:rsidP="001C71C2">
      <w:pPr>
        <w:rPr>
          <w:rFonts w:cs="Times New Roman"/>
          <w:lang w:val="es-MX"/>
        </w:rPr>
      </w:pPr>
    </w:p>
    <w:p w14:paraId="62066974" w14:textId="48CB8555" w:rsidR="00833E1B" w:rsidRDefault="00F66FCA" w:rsidP="001C71C2">
      <w:pPr>
        <w:rPr>
          <w:rFonts w:cs="Times New Roman"/>
          <w:lang w:val="es-MX"/>
        </w:rPr>
      </w:pPr>
      <w:r w:rsidRPr="00CB1BCD">
        <w:rPr>
          <w:rFonts w:cs="Times New Roman"/>
        </w:rPr>
        <w:t xml:space="preserve">La noción de </w:t>
      </w:r>
      <w:proofErr w:type="spellStart"/>
      <w:r w:rsidRPr="00CB1BCD">
        <w:rPr>
          <w:rStyle w:val="nfasis"/>
          <w:rFonts w:cs="Times New Roman"/>
        </w:rPr>
        <w:t>carbon</w:t>
      </w:r>
      <w:proofErr w:type="spellEnd"/>
      <w:r w:rsidRPr="00CB1BCD">
        <w:rPr>
          <w:rStyle w:val="nfasis"/>
          <w:rFonts w:cs="Times New Roman"/>
        </w:rPr>
        <w:t xml:space="preserve"> </w:t>
      </w:r>
      <w:proofErr w:type="spellStart"/>
      <w:r w:rsidRPr="00CB1BCD">
        <w:rPr>
          <w:rStyle w:val="nfasis"/>
          <w:rFonts w:cs="Times New Roman"/>
        </w:rPr>
        <w:t>Laffer</w:t>
      </w:r>
      <w:proofErr w:type="spellEnd"/>
      <w:r w:rsidRPr="00CB1BCD">
        <w:rPr>
          <w:rStyle w:val="nfasis"/>
          <w:rFonts w:cs="Times New Roman"/>
        </w:rPr>
        <w:t xml:space="preserve"> curve</w:t>
      </w:r>
      <w:r w:rsidRPr="00CB1BCD">
        <w:rPr>
          <w:rFonts w:cs="Times New Roman"/>
        </w:rPr>
        <w:t xml:space="preserve"> permite articular esta diferencia, en tanto la recaudación depende simultáneamente del precio aplicado por tonelada de CO₂ y del volumen de emisiones remanentes. Si el impuesto induce sustitución energética, eficiencia tecnológica o menor consumo de combustibles fósiles, la base gravable tiende a reducirse. En consecuencia, el análisis del impuesto al carbono requiere observar de manera conjunta la recaudación potencial, la reducción de emisiones y el bienestar parcial asociado al diseño de la política</w:t>
      </w:r>
      <w:r w:rsidR="00833E1B" w:rsidRPr="00CB1BCD">
        <w:rPr>
          <w:rFonts w:cs="Times New Roman"/>
          <w:lang w:val="es-MX"/>
        </w:rPr>
        <w:t>.</w:t>
      </w:r>
    </w:p>
    <w:p w14:paraId="681AB613" w14:textId="77777777" w:rsidR="00956B0C" w:rsidRPr="00CB1BCD" w:rsidRDefault="00956B0C" w:rsidP="001C71C2">
      <w:pPr>
        <w:rPr>
          <w:rFonts w:cs="Times New Roman"/>
          <w:lang w:val="es-MX"/>
        </w:rPr>
      </w:pPr>
    </w:p>
    <w:p w14:paraId="2B087FDA" w14:textId="271A1F61" w:rsidR="00833E1B" w:rsidRPr="00CB1BCD" w:rsidRDefault="00CD10F2" w:rsidP="001C71C2">
      <w:pPr>
        <w:rPr>
          <w:rFonts w:cs="Times New Roman"/>
          <w:lang w:val="es-MX"/>
        </w:rPr>
      </w:pPr>
      <w:r w:rsidRPr="00CB1BCD">
        <w:rPr>
          <w:rFonts w:cs="Times New Roman"/>
        </w:rPr>
        <w:t xml:space="preserve">México incorporó </w:t>
      </w:r>
      <w:r w:rsidR="0092552E" w:rsidRPr="00CB1BCD">
        <w:rPr>
          <w:rFonts w:cs="Times New Roman"/>
        </w:rPr>
        <w:t>un gravamen al carbono</w:t>
      </w:r>
      <w:r w:rsidRPr="00CB1BCD">
        <w:rPr>
          <w:rFonts w:cs="Times New Roman"/>
        </w:rPr>
        <w:t xml:space="preserve"> a partir de 2014, mediante la reforma a la Ley del Impuesto Especial sobre Producción y Servicios publicada el 11 de diciembre de 2013, en la cual se establecieron cuotas aplicables a diversos combustibles fósiles, diferenciadas según el tipo de energético y su contenido de carbono (Cámara de Diputados, 2013a). Desde la discusión parlamentaria de la iniciativa, el gravamen se planteó como un instrumento orientado a desincentivar el uso de combustibles fósiles, promover mayor eficiencia energética, estimular la innovación y favorecer la adopción de tecnologías verdes (Cámara de Diputados, 2013b). Sin embargo, Black </w:t>
      </w:r>
      <w:r w:rsidRPr="00CB1BCD">
        <w:rPr>
          <w:rFonts w:cs="Times New Roman"/>
          <w:i/>
          <w:iCs/>
        </w:rPr>
        <w:t>et al</w:t>
      </w:r>
      <w:r w:rsidRPr="00CB1BCD">
        <w:rPr>
          <w:rFonts w:cs="Times New Roman"/>
        </w:rPr>
        <w:t>. (2021) señalan que, pese a su fundamento ambiental, el impuesto mexicano ha operado con niveles de precio reducidos y con exenciones relevantes, particularmente en el gas natural, lo que limita su capacidad para inducir una señal ambiental más amplia</w:t>
      </w:r>
      <w:r w:rsidR="00833E1B" w:rsidRPr="00CB1BCD">
        <w:rPr>
          <w:rFonts w:cs="Times New Roman"/>
          <w:lang w:val="es-MX"/>
        </w:rPr>
        <w:t>.</w:t>
      </w:r>
    </w:p>
    <w:p w14:paraId="001D9994" w14:textId="5A79D109" w:rsidR="00833E1B" w:rsidRDefault="00190F95" w:rsidP="001C71C2">
      <w:pPr>
        <w:rPr>
          <w:rFonts w:cs="Times New Roman"/>
          <w:lang w:val="es-MX"/>
        </w:rPr>
      </w:pPr>
      <w:r w:rsidRPr="00CB1BCD">
        <w:rPr>
          <w:rFonts w:cs="Times New Roman"/>
          <w:lang w:val="es-MX"/>
        </w:rPr>
        <w:t xml:space="preserve">En este contexto, el caso mexicano </w:t>
      </w:r>
      <w:r w:rsidR="0092552E" w:rsidRPr="00CB1BCD">
        <w:rPr>
          <w:rFonts w:cs="Times New Roman"/>
          <w:lang w:val="es-MX"/>
        </w:rPr>
        <w:t>permite desarrollar una simulación calibrada para examinar la relación entre precio al carbono, recaudación potencial, emisiones y bienestar parcial bajo escenarios de fortalecimiento gradual del instrumento</w:t>
      </w:r>
      <w:r w:rsidRPr="00CB1BCD">
        <w:rPr>
          <w:rFonts w:cs="Times New Roman"/>
          <w:lang w:val="es-MX"/>
        </w:rPr>
        <w:t xml:space="preserve">. </w:t>
      </w:r>
      <w:r w:rsidR="00833E1B" w:rsidRPr="00CB1BCD">
        <w:rPr>
          <w:rFonts w:cs="Times New Roman"/>
          <w:lang w:val="es-MX"/>
        </w:rPr>
        <w:t>El interés analítico no consiste únicamente en determinar si una tasa mayor elevaría la recaudación, sino en observar si dicho aumento también sería compatible</w:t>
      </w:r>
      <w:r w:rsidR="0092552E" w:rsidRPr="00CB1BCD">
        <w:rPr>
          <w:rFonts w:cs="Times New Roman"/>
          <w:lang w:val="es-MX"/>
        </w:rPr>
        <w:t>, bajo los supuestos del modelo,</w:t>
      </w:r>
      <w:r w:rsidR="00833E1B" w:rsidRPr="00CB1BCD">
        <w:rPr>
          <w:rFonts w:cs="Times New Roman"/>
          <w:lang w:val="es-MX"/>
        </w:rPr>
        <w:t xml:space="preserve"> con una reducción de emisiones y con una mejora del </w:t>
      </w:r>
      <w:r w:rsidR="00ED09B6" w:rsidRPr="00CB1BCD">
        <w:rPr>
          <w:rFonts w:cs="Times New Roman"/>
          <w:lang w:val="es-MX"/>
        </w:rPr>
        <w:t xml:space="preserve">indicador de </w:t>
      </w:r>
      <w:r w:rsidR="00833E1B" w:rsidRPr="00CB1BCD">
        <w:rPr>
          <w:rFonts w:cs="Times New Roman"/>
          <w:lang w:val="es-MX"/>
        </w:rPr>
        <w:t xml:space="preserve">bienestar parcial. </w:t>
      </w:r>
      <w:r w:rsidR="00F66FCA" w:rsidRPr="00CB1BCD">
        <w:rPr>
          <w:rFonts w:cs="Times New Roman"/>
          <w:lang w:val="es-MX"/>
        </w:rPr>
        <w:lastRenderedPageBreak/>
        <w:t>Esta distinción resulta relevante p</w:t>
      </w:r>
      <w:r w:rsidR="00152866" w:rsidRPr="00CB1BCD">
        <w:rPr>
          <w:rFonts w:cs="Times New Roman"/>
          <w:lang w:val="es-MX"/>
        </w:rPr>
        <w:t>orque</w:t>
      </w:r>
      <w:r w:rsidR="00833E1B" w:rsidRPr="00CB1BCD">
        <w:rPr>
          <w:rFonts w:cs="Times New Roman"/>
          <w:lang w:val="es-MX"/>
        </w:rPr>
        <w:t xml:space="preserve"> el impuesto al carbono se ubica en la intersección de tres objetivos de política pública: corrección ambiental, capacidad fiscal y sostenibilidad social.</w:t>
      </w:r>
    </w:p>
    <w:p w14:paraId="086583BC" w14:textId="77777777" w:rsidR="00956B0C" w:rsidRPr="00CB1BCD" w:rsidRDefault="00956B0C" w:rsidP="001C71C2">
      <w:pPr>
        <w:rPr>
          <w:rFonts w:cs="Times New Roman"/>
          <w:lang w:val="es-MX"/>
        </w:rPr>
      </w:pPr>
    </w:p>
    <w:p w14:paraId="01A15B0C" w14:textId="0F9F11D0" w:rsidR="00190F95" w:rsidRDefault="002E59B5" w:rsidP="001C71C2">
      <w:pPr>
        <w:rPr>
          <w:rFonts w:cs="Times New Roman"/>
        </w:rPr>
      </w:pPr>
      <w:r w:rsidRPr="00CB1BCD">
        <w:rPr>
          <w:rFonts w:cs="Times New Roman"/>
        </w:rPr>
        <w:t>Varga</w:t>
      </w:r>
      <w:r w:rsidR="00313DFE" w:rsidRPr="00CB1BCD">
        <w:rPr>
          <w:rFonts w:cs="Times New Roman"/>
        </w:rPr>
        <w:t xml:space="preserve"> </w:t>
      </w:r>
      <w:r w:rsidR="00313DFE" w:rsidRPr="00CB1BCD">
        <w:rPr>
          <w:rFonts w:cs="Times New Roman"/>
          <w:i/>
          <w:iCs/>
        </w:rPr>
        <w:t>et al.</w:t>
      </w:r>
      <w:r w:rsidR="00313DFE" w:rsidRPr="00CB1BCD">
        <w:rPr>
          <w:rFonts w:cs="Times New Roman"/>
        </w:rPr>
        <w:t xml:space="preserve"> </w:t>
      </w:r>
      <w:r w:rsidRPr="00CB1BCD">
        <w:rPr>
          <w:rFonts w:cs="Times New Roman"/>
        </w:rPr>
        <w:t xml:space="preserve">(2022) muestran que los costos de la transición climática pueden reducirse cuando la recaudación de impuestos al carbono se utiliza para disminuir impuestos distorsionantes o subsidiar energía limpia. De forma complementaria, </w:t>
      </w:r>
      <w:proofErr w:type="spellStart"/>
      <w:r w:rsidRPr="00CB1BCD">
        <w:rPr>
          <w:rFonts w:cs="Times New Roman"/>
        </w:rPr>
        <w:t>Budolfson</w:t>
      </w:r>
      <w:proofErr w:type="spellEnd"/>
      <w:r w:rsidRPr="00CB1BCD">
        <w:rPr>
          <w:rFonts w:cs="Times New Roman"/>
        </w:rPr>
        <w:t xml:space="preserve"> </w:t>
      </w:r>
      <w:r w:rsidRPr="00CB1BCD">
        <w:rPr>
          <w:rFonts w:cs="Times New Roman"/>
          <w:i/>
          <w:iCs/>
        </w:rPr>
        <w:t>et al</w:t>
      </w:r>
      <w:r w:rsidRPr="00CB1BCD">
        <w:rPr>
          <w:rFonts w:cs="Times New Roman"/>
        </w:rPr>
        <w:t>. (2021) encuentran que el reciclaje de ingresos puede modificar los efectos sobre pobreza, desigualdad y bienestar</w:t>
      </w:r>
      <w:r w:rsidR="00190F95" w:rsidRPr="00CB1BCD">
        <w:rPr>
          <w:rFonts w:cs="Times New Roman"/>
        </w:rPr>
        <w:t>.</w:t>
      </w:r>
      <w:r w:rsidR="00E36FC8" w:rsidRPr="00CB1BCD">
        <w:rPr>
          <w:rFonts w:cs="Times New Roman"/>
        </w:rPr>
        <w:t xml:space="preserve"> El reciclaje de ingresos se entiende como la redistribución de una parte de la recaudación hacia fines sociales, fiscales o ambientales en los escenarios simulados.</w:t>
      </w:r>
    </w:p>
    <w:p w14:paraId="5273E57C" w14:textId="77777777" w:rsidR="00956B0C" w:rsidRPr="00CB1BCD" w:rsidRDefault="00956B0C" w:rsidP="001C71C2">
      <w:pPr>
        <w:rPr>
          <w:rFonts w:cs="Times New Roman"/>
        </w:rPr>
      </w:pPr>
    </w:p>
    <w:p w14:paraId="70EB2304" w14:textId="2D890BBD" w:rsidR="00833E1B" w:rsidRDefault="00833E1B" w:rsidP="001C71C2">
      <w:pPr>
        <w:rPr>
          <w:rFonts w:cs="Times New Roman"/>
          <w:lang w:val="es-MX"/>
        </w:rPr>
      </w:pPr>
      <w:r w:rsidRPr="00CB1BCD">
        <w:rPr>
          <w:rFonts w:cs="Times New Roman"/>
          <w:lang w:val="es-MX"/>
        </w:rPr>
        <w:t xml:space="preserve">El problema de investigación se </w:t>
      </w:r>
      <w:r w:rsidR="00993043" w:rsidRPr="00CB1BCD">
        <w:rPr>
          <w:rFonts w:cs="Times New Roman"/>
          <w:lang w:val="es-MX"/>
        </w:rPr>
        <w:t>formula como una pregunta teórica aplicada: ¿</w:t>
      </w:r>
      <w:r w:rsidRPr="00CB1BCD">
        <w:rPr>
          <w:rFonts w:cs="Times New Roman"/>
          <w:lang w:val="es-MX"/>
        </w:rPr>
        <w:t xml:space="preserve">cómo se relacionan el precio al carbono, la reducción de emisiones, la recaudación potencial y </w:t>
      </w:r>
      <w:r w:rsidR="00A1036E" w:rsidRPr="00CB1BCD">
        <w:rPr>
          <w:rFonts w:cs="Times New Roman"/>
          <w:lang w:val="es-MX"/>
        </w:rPr>
        <w:t>el bienestar parcial</w:t>
      </w:r>
      <w:r w:rsidRPr="00CB1BCD">
        <w:rPr>
          <w:rFonts w:cs="Times New Roman"/>
          <w:lang w:val="es-MX"/>
        </w:rPr>
        <w:t xml:space="preserve"> en México bajo el marco de la Curva de Laffer ambiental</w:t>
      </w:r>
      <w:r w:rsidR="00993043" w:rsidRPr="00CB1BCD">
        <w:rPr>
          <w:rFonts w:cs="Times New Roman"/>
          <w:lang w:val="es-MX"/>
        </w:rPr>
        <w:t>?</w:t>
      </w:r>
      <w:r w:rsidRPr="00CB1BCD">
        <w:rPr>
          <w:rFonts w:cs="Times New Roman"/>
          <w:lang w:val="es-MX"/>
        </w:rPr>
        <w:t xml:space="preserve"> Esta aproximación permite evitar una lectura exclusivamente fiscal del impuesto y lo ubica como un instrumento de corrección ambiental cuyo desempeño depende de la interacción entre </w:t>
      </w:r>
      <w:r w:rsidR="007E585F" w:rsidRPr="00CB1BCD">
        <w:rPr>
          <w:rFonts w:cs="Times New Roman"/>
          <w:lang w:val="es-MX"/>
        </w:rPr>
        <w:t>precio</w:t>
      </w:r>
      <w:r w:rsidRPr="00CB1BCD">
        <w:rPr>
          <w:rFonts w:cs="Times New Roman"/>
          <w:lang w:val="es-MX"/>
        </w:rPr>
        <w:t>, base contaminante, ingresos generados y uso potencial de la recaudación.</w:t>
      </w:r>
    </w:p>
    <w:p w14:paraId="4B8CD024" w14:textId="77777777" w:rsidR="00956B0C" w:rsidRPr="00CB1BCD" w:rsidRDefault="00956B0C" w:rsidP="001C71C2">
      <w:pPr>
        <w:rPr>
          <w:rFonts w:cs="Times New Roman"/>
          <w:lang w:val="es-MX"/>
        </w:rPr>
      </w:pPr>
    </w:p>
    <w:p w14:paraId="07AB49FE" w14:textId="1525DB4D" w:rsidR="00833E1B" w:rsidRDefault="00833E1B" w:rsidP="001C71C2">
      <w:pPr>
        <w:rPr>
          <w:rFonts w:cs="Times New Roman"/>
          <w:lang w:val="es-MX"/>
        </w:rPr>
      </w:pPr>
      <w:r w:rsidRPr="00CB1BCD">
        <w:rPr>
          <w:rFonts w:cs="Times New Roman"/>
          <w:lang w:val="es-MX"/>
        </w:rPr>
        <w:t xml:space="preserve">El objetivo del presente estudio es analizar el impuesto al carbono en México mediante un enfoque teórico-matemático que vincula la tributación pigouviana con la Curva de Laffer ambiental, </w:t>
      </w:r>
      <w:r w:rsidR="006735A2" w:rsidRPr="00CB1BCD">
        <w:rPr>
          <w:rFonts w:cs="Times New Roman"/>
          <w:lang w:val="es-MX"/>
        </w:rPr>
        <w:t xml:space="preserve">a partir de una simulación calibrada de forma reducida orientada a estimar sus efectos potenciales sobre la </w:t>
      </w:r>
      <w:r w:rsidRPr="00CB1BCD">
        <w:rPr>
          <w:rFonts w:cs="Times New Roman"/>
          <w:lang w:val="es-MX"/>
        </w:rPr>
        <w:t xml:space="preserve">recaudación, emisiones y </w:t>
      </w:r>
      <w:r w:rsidR="002A24E5" w:rsidRPr="00CB1BCD">
        <w:rPr>
          <w:rFonts w:cs="Times New Roman"/>
        </w:rPr>
        <w:t xml:space="preserve">bienestar </w:t>
      </w:r>
      <w:r w:rsidR="00A1036E" w:rsidRPr="00CB1BCD">
        <w:rPr>
          <w:rFonts w:cs="Times New Roman"/>
        </w:rPr>
        <w:t>parcial</w:t>
      </w:r>
      <w:r w:rsidRPr="00CB1BCD">
        <w:rPr>
          <w:rFonts w:cs="Times New Roman"/>
          <w:lang w:val="es-MX"/>
        </w:rPr>
        <w:t xml:space="preserve">. Para ello, </w:t>
      </w:r>
      <w:r w:rsidR="006735A2" w:rsidRPr="00CB1BCD">
        <w:rPr>
          <w:rFonts w:cs="Times New Roman"/>
          <w:lang w:val="es-MX"/>
        </w:rPr>
        <w:t>se utilizan</w:t>
      </w:r>
      <w:r w:rsidRPr="00CB1BCD">
        <w:rPr>
          <w:rFonts w:cs="Times New Roman"/>
          <w:lang w:val="es-MX"/>
        </w:rPr>
        <w:t xml:space="preserve"> parámetros del </w:t>
      </w:r>
      <w:r w:rsidRPr="00CB1BCD">
        <w:rPr>
          <w:rFonts w:cs="Times New Roman"/>
          <w:i/>
          <w:iCs/>
          <w:lang w:val="es-MX"/>
        </w:rPr>
        <w:t>Carbon Pricing Assessment Tool</w:t>
      </w:r>
      <w:r w:rsidRPr="00CB1BCD">
        <w:rPr>
          <w:rFonts w:cs="Times New Roman"/>
          <w:lang w:val="es-MX"/>
        </w:rPr>
        <w:t xml:space="preserve"> del Fondo Monetario Internacional reportados por Black </w:t>
      </w:r>
      <w:r w:rsidRPr="00CB1BCD">
        <w:rPr>
          <w:rFonts w:cs="Times New Roman"/>
          <w:i/>
          <w:iCs/>
          <w:lang w:val="es-MX"/>
        </w:rPr>
        <w:t>et al</w:t>
      </w:r>
      <w:r w:rsidRPr="00CB1BCD">
        <w:rPr>
          <w:rFonts w:cs="Times New Roman"/>
          <w:lang w:val="es-MX"/>
        </w:rPr>
        <w:t xml:space="preserve">. (2021), considerando escenarios graduales de precio al carbono y una </w:t>
      </w:r>
      <w:r w:rsidR="00A874ED" w:rsidRPr="00CB1BCD">
        <w:rPr>
          <w:rFonts w:cs="Times New Roman"/>
          <w:lang w:val="es-MX"/>
        </w:rPr>
        <w:t>malla de valores</w:t>
      </w:r>
      <w:r w:rsidRPr="00CB1BCD">
        <w:rPr>
          <w:rFonts w:cs="Times New Roman"/>
          <w:lang w:val="es-MX"/>
        </w:rPr>
        <w:t xml:space="preserve"> para identificar el máximo recaudatorio </w:t>
      </w:r>
      <w:r w:rsidR="00032283" w:rsidRPr="00CB1BCD">
        <w:rPr>
          <w:rFonts w:cs="Times New Roman"/>
          <w:lang w:val="es-MX"/>
        </w:rPr>
        <w:t xml:space="preserve">interno </w:t>
      </w:r>
      <w:r w:rsidRPr="00CB1BCD">
        <w:rPr>
          <w:rFonts w:cs="Times New Roman"/>
          <w:lang w:val="es-MX"/>
        </w:rPr>
        <w:t>de la curva.</w:t>
      </w:r>
    </w:p>
    <w:p w14:paraId="1CC50350" w14:textId="77777777" w:rsidR="00956B0C" w:rsidRPr="00CB1BCD" w:rsidRDefault="00956B0C" w:rsidP="001C71C2">
      <w:pPr>
        <w:rPr>
          <w:rFonts w:cs="Times New Roman"/>
          <w:lang w:val="es-MX"/>
        </w:rPr>
      </w:pPr>
    </w:p>
    <w:p w14:paraId="3BFFC5D2" w14:textId="420BD9BE" w:rsidR="00C2655B" w:rsidRPr="00CB1BCD" w:rsidRDefault="00A8688F" w:rsidP="001C71C2">
      <w:pPr>
        <w:rPr>
          <w:rFonts w:cs="Times New Roman"/>
          <w:lang w:val="es-MX"/>
        </w:rPr>
      </w:pPr>
      <w:r w:rsidRPr="00CB1BCD">
        <w:rPr>
          <w:rFonts w:cs="Times New Roman"/>
          <w:lang w:val="es-MX"/>
        </w:rPr>
        <w:t>La proposición analítica del estudio sostiene que</w:t>
      </w:r>
      <w:r w:rsidR="00833E1B" w:rsidRPr="00CB1BCD">
        <w:rPr>
          <w:rFonts w:cs="Times New Roman"/>
          <w:lang w:val="es-MX"/>
        </w:rPr>
        <w:t xml:space="preserve">, bajo </w:t>
      </w:r>
      <w:r w:rsidR="008A47E1" w:rsidRPr="00CB1BCD">
        <w:rPr>
          <w:rFonts w:cs="Times New Roman"/>
          <w:lang w:val="es-MX"/>
        </w:rPr>
        <w:t>la</w:t>
      </w:r>
      <w:r w:rsidR="00833E1B" w:rsidRPr="00CB1BCD">
        <w:rPr>
          <w:rFonts w:cs="Times New Roman"/>
          <w:lang w:val="es-MX"/>
        </w:rPr>
        <w:t xml:space="preserve"> calibración </w:t>
      </w:r>
      <w:r w:rsidR="008A47E1" w:rsidRPr="00CB1BCD">
        <w:rPr>
          <w:rFonts w:cs="Times New Roman"/>
          <w:lang w:val="es-MX"/>
        </w:rPr>
        <w:t>empleada</w:t>
      </w:r>
      <w:r w:rsidR="00833E1B" w:rsidRPr="00CB1BCD">
        <w:rPr>
          <w:rFonts w:cs="Times New Roman"/>
          <w:lang w:val="es-MX"/>
        </w:rPr>
        <w:t xml:space="preserve"> para México, </w:t>
      </w:r>
      <w:r w:rsidR="001A7DE0" w:rsidRPr="00CB1BCD">
        <w:rPr>
          <w:rFonts w:cs="Times New Roman"/>
        </w:rPr>
        <w:t xml:space="preserve">la función calibrada </w:t>
      </w:r>
      <w:r w:rsidR="007E585F" w:rsidRPr="00CB1BCD">
        <w:rPr>
          <w:rFonts w:cs="Times New Roman"/>
        </w:rPr>
        <w:t>asociada a</w:t>
      </w:r>
      <w:r w:rsidR="001A7DE0" w:rsidRPr="00CB1BCD">
        <w:rPr>
          <w:rFonts w:cs="Times New Roman"/>
        </w:rPr>
        <w:t>l impuesto al carbono se ubica en el</w:t>
      </w:r>
      <w:r w:rsidR="00833E1B" w:rsidRPr="00CB1BCD">
        <w:rPr>
          <w:rFonts w:cs="Times New Roman"/>
          <w:lang w:val="es-MX"/>
        </w:rPr>
        <w:t xml:space="preserve"> tramo ascendente de la Curva de Laffer ambiental para precios moderados, de modo que un aumento gradual del precio puede incrementar la recaudación potencial y reducir emisiones</w:t>
      </w:r>
      <w:r w:rsidR="008A47E1" w:rsidRPr="00CB1BCD">
        <w:rPr>
          <w:rFonts w:cs="Times New Roman"/>
          <w:lang w:val="es-MX"/>
        </w:rPr>
        <w:t xml:space="preserve"> dentro del modelo</w:t>
      </w:r>
      <w:r w:rsidR="00833E1B" w:rsidRPr="00CB1BCD">
        <w:rPr>
          <w:rFonts w:cs="Times New Roman"/>
          <w:lang w:val="es-MX"/>
        </w:rPr>
        <w:t xml:space="preserve">. </w:t>
      </w:r>
      <w:r w:rsidR="008A47E1" w:rsidRPr="00CB1BCD">
        <w:rPr>
          <w:rFonts w:cs="Times New Roman"/>
          <w:lang w:val="es-MX"/>
        </w:rPr>
        <w:t>Asimismo</w:t>
      </w:r>
      <w:r w:rsidR="00833E1B" w:rsidRPr="00CB1BCD">
        <w:rPr>
          <w:rFonts w:cs="Times New Roman"/>
          <w:lang w:val="es-MX"/>
        </w:rPr>
        <w:t xml:space="preserve">, se plantea que el máximo recaudatorio no coincide necesariamente con el </w:t>
      </w:r>
      <w:r w:rsidR="008A47E1" w:rsidRPr="00CB1BCD">
        <w:rPr>
          <w:rFonts w:cs="Times New Roman"/>
        </w:rPr>
        <w:t>mayor</w:t>
      </w:r>
      <w:r w:rsidR="002A24E5" w:rsidRPr="00CB1BCD">
        <w:rPr>
          <w:rFonts w:cs="Times New Roman"/>
        </w:rPr>
        <w:t xml:space="preserve"> bienestar</w:t>
      </w:r>
      <w:r w:rsidR="008A47E1" w:rsidRPr="00CB1BCD">
        <w:rPr>
          <w:rFonts w:cs="Times New Roman"/>
        </w:rPr>
        <w:t xml:space="preserve"> parcial</w:t>
      </w:r>
      <w:r w:rsidR="00833E1B" w:rsidRPr="00CB1BCD">
        <w:rPr>
          <w:rFonts w:cs="Times New Roman"/>
          <w:lang w:val="es-MX"/>
        </w:rPr>
        <w:t xml:space="preserve"> y que el reciclaje de ingresos modifica la evaluación del instrumento.</w:t>
      </w:r>
    </w:p>
    <w:p w14:paraId="6733675E" w14:textId="77777777" w:rsidR="00956B0C" w:rsidRDefault="00956B0C" w:rsidP="001C71C2">
      <w:pPr>
        <w:pStyle w:val="Ttulo1"/>
        <w:spacing w:line="360" w:lineRule="auto"/>
        <w:jc w:val="left"/>
        <w:rPr>
          <w:rFonts w:cs="Times New Roman"/>
          <w:b/>
          <w:color w:val="auto"/>
          <w:sz w:val="24"/>
          <w:szCs w:val="24"/>
          <w:lang w:val="es-ES_tradnl"/>
        </w:rPr>
      </w:pPr>
    </w:p>
    <w:p w14:paraId="63D5ADCE" w14:textId="4D1CDC11" w:rsidR="00A82BB6" w:rsidRPr="00CB1BCD" w:rsidRDefault="00C2655B" w:rsidP="001C71C2">
      <w:pPr>
        <w:pStyle w:val="Ttulo1"/>
        <w:spacing w:line="360" w:lineRule="auto"/>
        <w:jc w:val="left"/>
        <w:rPr>
          <w:rFonts w:cs="Times New Roman"/>
          <w:b/>
          <w:color w:val="auto"/>
          <w:sz w:val="24"/>
          <w:szCs w:val="24"/>
          <w:lang w:val="es-ES_tradnl"/>
        </w:rPr>
      </w:pPr>
      <w:r w:rsidRPr="00CB1BCD">
        <w:rPr>
          <w:rFonts w:cs="Times New Roman"/>
          <w:b/>
          <w:color w:val="auto"/>
          <w:sz w:val="24"/>
          <w:szCs w:val="24"/>
          <w:lang w:val="es-ES_tradnl"/>
        </w:rPr>
        <w:t>M</w:t>
      </w:r>
      <w:r w:rsidR="00690012" w:rsidRPr="00CB1BCD">
        <w:rPr>
          <w:rFonts w:cs="Times New Roman"/>
          <w:b/>
          <w:color w:val="auto"/>
          <w:sz w:val="24"/>
          <w:szCs w:val="24"/>
          <w:lang w:val="es-ES_tradnl"/>
        </w:rPr>
        <w:t>ateriales y métodos</w:t>
      </w:r>
    </w:p>
    <w:p w14:paraId="081E42E2" w14:textId="77BA0CED" w:rsidR="00A82BB6" w:rsidRDefault="00A82BB6" w:rsidP="001C71C2">
      <w:pPr>
        <w:ind w:firstLine="708"/>
        <w:rPr>
          <w:rFonts w:cs="Times New Roman"/>
          <w:lang w:val="es-MX"/>
        </w:rPr>
      </w:pPr>
      <w:r w:rsidRPr="00CB1BCD">
        <w:rPr>
          <w:rFonts w:cs="Times New Roman"/>
          <w:lang w:val="es-MX"/>
        </w:rPr>
        <w:t xml:space="preserve">Se construyó una simulación determinística </w:t>
      </w:r>
      <w:r w:rsidR="000E5C60" w:rsidRPr="00CB1BCD">
        <w:rPr>
          <w:rFonts w:cs="Times New Roman"/>
          <w:lang w:val="es-MX"/>
        </w:rPr>
        <w:t xml:space="preserve">estática </w:t>
      </w:r>
      <w:r w:rsidRPr="00CB1BCD">
        <w:rPr>
          <w:rFonts w:cs="Times New Roman"/>
          <w:lang w:val="es-MX"/>
        </w:rPr>
        <w:t xml:space="preserve">de </w:t>
      </w:r>
      <w:r w:rsidR="000E5C60" w:rsidRPr="00CB1BCD">
        <w:rPr>
          <w:rFonts w:cs="Times New Roman"/>
          <w:lang w:val="es-MX"/>
        </w:rPr>
        <w:t>forma reducida</w:t>
      </w:r>
      <w:r w:rsidRPr="00CB1BCD">
        <w:rPr>
          <w:rFonts w:cs="Times New Roman"/>
          <w:lang w:val="es-MX"/>
        </w:rPr>
        <w:t xml:space="preserve"> para estimar el comportamiento potencial de la recaudación, las emisiones de dióxido de carbono</w:t>
      </w:r>
      <w:r w:rsidR="000E5C60" w:rsidRPr="00CB1BCD">
        <w:rPr>
          <w:rFonts w:cs="Times New Roman"/>
          <w:lang w:val="es-MX"/>
        </w:rPr>
        <w:t xml:space="preserve"> (CO</w:t>
      </w:r>
      <w:r w:rsidR="000E5C60" w:rsidRPr="00CB1BCD">
        <w:rPr>
          <w:rFonts w:cs="Times New Roman"/>
          <w:vertAlign w:val="subscript"/>
          <w:lang w:val="es-MX"/>
        </w:rPr>
        <w:t>2</w:t>
      </w:r>
      <w:r w:rsidR="000E5C60" w:rsidRPr="00CB1BCD">
        <w:rPr>
          <w:rFonts w:cs="Times New Roman"/>
          <w:lang w:val="es-MX"/>
        </w:rPr>
        <w:t>)</w:t>
      </w:r>
      <w:r w:rsidRPr="00CB1BCD">
        <w:rPr>
          <w:rFonts w:cs="Times New Roman"/>
          <w:lang w:val="es-MX"/>
        </w:rPr>
        <w:t xml:space="preserve"> y el bienestar parcial ante distintos niveles de precio al carbono en México.</w:t>
      </w:r>
    </w:p>
    <w:p w14:paraId="4A0CC8DA" w14:textId="77777777" w:rsidR="00956B0C" w:rsidRPr="00CB1BCD" w:rsidRDefault="00956B0C" w:rsidP="001C71C2">
      <w:pPr>
        <w:rPr>
          <w:rFonts w:cs="Times New Roman"/>
          <w:lang w:val="es-MX"/>
        </w:rPr>
      </w:pPr>
    </w:p>
    <w:p w14:paraId="0BF88F7A" w14:textId="5FDBF77F" w:rsidR="00A82BB6" w:rsidRDefault="000E5C60" w:rsidP="001C71C2">
      <w:pPr>
        <w:rPr>
          <w:rFonts w:cs="Times New Roman"/>
        </w:rPr>
      </w:pPr>
      <w:r w:rsidRPr="00CB1BCD">
        <w:rPr>
          <w:rFonts w:cs="Times New Roman"/>
          <w:lang w:val="es-MX"/>
        </w:rPr>
        <w:t xml:space="preserve">El caso de estudio fue México. </w:t>
      </w:r>
      <w:r w:rsidR="00A82BB6" w:rsidRPr="00CB1BCD">
        <w:rPr>
          <w:rFonts w:cs="Times New Roman"/>
          <w:lang w:val="es-MX"/>
        </w:rPr>
        <w:t xml:space="preserve">La </w:t>
      </w:r>
      <w:r w:rsidRPr="00CB1BCD">
        <w:rPr>
          <w:rFonts w:cs="Times New Roman"/>
          <w:lang w:val="es-MX"/>
        </w:rPr>
        <w:t>variable de política</w:t>
      </w:r>
      <w:r w:rsidR="00A82BB6" w:rsidRPr="00CB1BCD">
        <w:rPr>
          <w:rFonts w:cs="Times New Roman"/>
          <w:lang w:val="es-MX"/>
        </w:rPr>
        <w:t xml:space="preserve"> fue el precio al carbono aplicado a emisiones de </w:t>
      </w:r>
      <w:r w:rsidRPr="00CB1BCD">
        <w:rPr>
          <w:rFonts w:cs="Times New Roman"/>
          <w:lang w:val="es-MX"/>
        </w:rPr>
        <w:t>CO</w:t>
      </w:r>
      <w:r w:rsidRPr="00CB1BCD">
        <w:rPr>
          <w:rFonts w:cs="Times New Roman"/>
          <w:vertAlign w:val="subscript"/>
          <w:lang w:val="es-MX"/>
        </w:rPr>
        <w:t>2</w:t>
      </w:r>
      <w:r w:rsidR="00A82BB6" w:rsidRPr="00CB1BCD">
        <w:rPr>
          <w:rFonts w:cs="Times New Roman"/>
          <w:lang w:val="es-MX"/>
        </w:rPr>
        <w:t>, expresado en dólares estadounidenses por tonelada de CO₂.</w:t>
      </w:r>
      <w:r w:rsidR="002E59B5" w:rsidRPr="00CB1BCD">
        <w:rPr>
          <w:rFonts w:cs="Times New Roman"/>
          <w:lang w:val="es-MX"/>
        </w:rPr>
        <w:t xml:space="preserve"> </w:t>
      </w:r>
      <w:r w:rsidRPr="00CB1BCD">
        <w:rPr>
          <w:rFonts w:cs="Times New Roman"/>
        </w:rPr>
        <w:t>L</w:t>
      </w:r>
      <w:r w:rsidR="002E59B5" w:rsidRPr="00CB1BCD">
        <w:rPr>
          <w:rFonts w:cs="Times New Roman"/>
        </w:rPr>
        <w:t xml:space="preserve">a simulación se calibró con los parámetros reportados por Black </w:t>
      </w:r>
      <w:r w:rsidR="002E59B5" w:rsidRPr="00CB1BCD">
        <w:rPr>
          <w:rFonts w:cs="Times New Roman"/>
          <w:i/>
          <w:iCs/>
        </w:rPr>
        <w:t>et al</w:t>
      </w:r>
      <w:r w:rsidR="002E59B5" w:rsidRPr="00CB1BCD">
        <w:rPr>
          <w:rFonts w:cs="Times New Roman"/>
        </w:rPr>
        <w:t xml:space="preserve">. (2021) para escenarios de política climática estimados mediante el </w:t>
      </w:r>
      <w:proofErr w:type="spellStart"/>
      <w:r w:rsidR="002E59B5" w:rsidRPr="00CB1BCD">
        <w:rPr>
          <w:rStyle w:val="nfasis"/>
          <w:rFonts w:cs="Times New Roman"/>
        </w:rPr>
        <w:t>Carbon</w:t>
      </w:r>
      <w:proofErr w:type="spellEnd"/>
      <w:r w:rsidR="002E59B5" w:rsidRPr="00CB1BCD">
        <w:rPr>
          <w:rStyle w:val="nfasis"/>
          <w:rFonts w:cs="Times New Roman"/>
        </w:rPr>
        <w:t xml:space="preserve"> </w:t>
      </w:r>
      <w:proofErr w:type="spellStart"/>
      <w:r w:rsidR="002E59B5" w:rsidRPr="00CB1BCD">
        <w:rPr>
          <w:rStyle w:val="nfasis"/>
          <w:rFonts w:cs="Times New Roman"/>
        </w:rPr>
        <w:t>Pricing</w:t>
      </w:r>
      <w:proofErr w:type="spellEnd"/>
      <w:r w:rsidR="002E59B5" w:rsidRPr="00CB1BCD">
        <w:rPr>
          <w:rStyle w:val="nfasis"/>
          <w:rFonts w:cs="Times New Roman"/>
        </w:rPr>
        <w:t xml:space="preserve"> </w:t>
      </w:r>
      <w:proofErr w:type="spellStart"/>
      <w:r w:rsidR="002E59B5" w:rsidRPr="00CB1BCD">
        <w:rPr>
          <w:rStyle w:val="nfasis"/>
          <w:rFonts w:cs="Times New Roman"/>
        </w:rPr>
        <w:t>Assessment</w:t>
      </w:r>
      <w:proofErr w:type="spellEnd"/>
      <w:r w:rsidR="002E59B5" w:rsidRPr="00CB1BCD">
        <w:rPr>
          <w:rStyle w:val="nfasis"/>
          <w:rFonts w:cs="Times New Roman"/>
        </w:rPr>
        <w:t xml:space="preserve"> Tool</w:t>
      </w:r>
      <w:r w:rsidR="002E59B5" w:rsidRPr="00CB1BCD">
        <w:rPr>
          <w:rFonts w:cs="Times New Roman"/>
        </w:rPr>
        <w:t xml:space="preserve"> del Fondo Monetario Internacional.</w:t>
      </w:r>
    </w:p>
    <w:p w14:paraId="0AC9A421" w14:textId="77777777" w:rsidR="00956B0C" w:rsidRPr="00CB1BCD" w:rsidRDefault="00956B0C" w:rsidP="001C71C2">
      <w:pPr>
        <w:rPr>
          <w:rFonts w:cs="Times New Roman"/>
          <w:lang w:val="es-MX"/>
        </w:rPr>
      </w:pPr>
    </w:p>
    <w:p w14:paraId="59A4F7B6" w14:textId="4F518365" w:rsidR="00A82BB6" w:rsidRDefault="00A82BB6" w:rsidP="001C71C2">
      <w:pPr>
        <w:rPr>
          <w:rFonts w:cs="Times New Roman"/>
          <w:lang w:val="es-MX"/>
        </w:rPr>
      </w:pPr>
      <w:r w:rsidRPr="00CB1BCD">
        <w:rPr>
          <w:rFonts w:cs="Times New Roman"/>
          <w:lang w:val="es-MX"/>
        </w:rPr>
        <w:t xml:space="preserve">El estudio utilizó como referencia el escenario para México estimado en </w:t>
      </w:r>
      <w:r w:rsidRPr="00CB1BCD">
        <w:rPr>
          <w:rFonts w:cs="Times New Roman"/>
          <w:i/>
          <w:iCs/>
          <w:lang w:val="es-MX"/>
        </w:rPr>
        <w:t>A Comprehensive Climate Mitigation Strategy for Mexico</w:t>
      </w:r>
      <w:r w:rsidRPr="00CB1BCD">
        <w:rPr>
          <w:rFonts w:cs="Times New Roman"/>
          <w:lang w:val="es-MX"/>
        </w:rPr>
        <w:t xml:space="preserve">, documento de trabajo del Fondo Monetario Internacional elaborado por </w:t>
      </w:r>
      <w:r w:rsidR="002E59B5" w:rsidRPr="00CB1BCD">
        <w:rPr>
          <w:rFonts w:cs="Times New Roman"/>
          <w:lang w:val="es-MX"/>
        </w:rPr>
        <w:fldChar w:fldCharType="begin" w:fldLock="1"/>
      </w:r>
      <w:r w:rsidR="002E59B5" w:rsidRPr="00CB1BCD">
        <w:rPr>
          <w:rFonts w:cs="Times New Roman"/>
          <w:lang w:val="es-MX"/>
        </w:rPr>
        <w:instrText>ADDIN CSL_CITATION {"citationItems":[{"id":"ITEM-1","itemData":{"DOI":"10.5089/9781513599847.001","ISSN":"1018-5941","abstract":"… However, recycling carbon pricing revenues would offset most of this burden, and targeted transfers could make the reform pro-poor and pro-equity. Additionally, the economic efficiency …","author":[{"dropping-particle":"","family":"Black","given":"Simon","non-dropping-particle":"","parse-names":false,"suffix":""},{"dropping-particle":"","family":"Kirabaeva","given":"Koralai","non-dropping-particle":"","parse-names":false,"suffix":""},{"dropping-particle":"","family":"Parry","given":"Ian","non-dropping-particle":"","parse-names":false,"suffix":""},{"dropping-particle":"","family":"Raissi","given":"Mehdi","non-dropping-particle":"","parse-names":false,"suffix":""},{"dropping-particle":"","family":"Zhunussova","given":"Karlygash","non-dropping-particle":"","parse-names":false,"suffix":""}],"container-title":"IMF Working Papers","id":"ITEM-1","issue":"246","issued":{"date-parts":[["2021"]]},"page":"1","title":"A Comprehensive Climate Mitigation Strategy for Mexico","type":"article-journal","volume":"2021"},"uris":["http://www.mendeley.com/documents/?uuid=370c1e96-e609-4c81-8d6f-72855191d330"]}],"mendeley":{"formattedCitation":"(Black &lt;i&gt;et al.&lt;/i&gt;, 2021)","manualFormatting":"Black et al. (2021)","plainTextFormattedCitation":"(Black et al., 2021)","previouslyFormattedCitation":"(Black &lt;i&gt;et al.&lt;/i&gt;, 2021)"},"properties":{"noteIndex":0},"schema":"https://github.com/citation-style-language/schema/raw/master/csl-citation.json"}</w:instrText>
      </w:r>
      <w:r w:rsidR="002E59B5" w:rsidRPr="00CB1BCD">
        <w:rPr>
          <w:rFonts w:cs="Times New Roman"/>
          <w:lang w:val="es-MX"/>
        </w:rPr>
        <w:fldChar w:fldCharType="separate"/>
      </w:r>
      <w:r w:rsidR="002E59B5" w:rsidRPr="00CB1BCD">
        <w:rPr>
          <w:rFonts w:cs="Times New Roman"/>
          <w:noProof/>
          <w:lang w:val="es-MX"/>
        </w:rPr>
        <w:t xml:space="preserve">Black </w:t>
      </w:r>
      <w:r w:rsidR="002E59B5" w:rsidRPr="00CB1BCD">
        <w:rPr>
          <w:rFonts w:cs="Times New Roman"/>
          <w:i/>
          <w:noProof/>
          <w:lang w:val="es-MX"/>
        </w:rPr>
        <w:t>et al.</w:t>
      </w:r>
      <w:r w:rsidR="002E59B5" w:rsidRPr="00CB1BCD">
        <w:rPr>
          <w:rFonts w:cs="Times New Roman"/>
          <w:noProof/>
          <w:lang w:val="es-MX"/>
        </w:rPr>
        <w:t xml:space="preserve"> (2021)</w:t>
      </w:r>
      <w:r w:rsidR="002E59B5" w:rsidRPr="00CB1BCD">
        <w:rPr>
          <w:rFonts w:cs="Times New Roman"/>
          <w:lang w:val="es-MX"/>
        </w:rPr>
        <w:fldChar w:fldCharType="end"/>
      </w:r>
      <w:r w:rsidRPr="00CB1BCD">
        <w:rPr>
          <w:rFonts w:cs="Times New Roman"/>
          <w:lang w:val="es-MX"/>
        </w:rPr>
        <w:t xml:space="preserve">. En dicho trabajo se emplea el </w:t>
      </w:r>
      <w:r w:rsidRPr="00CB1BCD">
        <w:rPr>
          <w:rFonts w:cs="Times New Roman"/>
          <w:i/>
          <w:iCs/>
          <w:lang w:val="es-MX"/>
        </w:rPr>
        <w:t>Carbon Pricing Assessment Tool</w:t>
      </w:r>
      <w:r w:rsidRPr="00CB1BCD">
        <w:rPr>
          <w:rFonts w:cs="Times New Roman"/>
          <w:lang w:val="es-MX"/>
        </w:rPr>
        <w:t xml:space="preserve"> para evaluar escenarios de precio al carbono, emisiones e ingresos fiscales asociados a la política climática</w:t>
      </w:r>
      <w:r w:rsidR="009D5B1B" w:rsidRPr="00CB1BCD">
        <w:rPr>
          <w:rFonts w:cs="Times New Roman"/>
          <w:lang w:val="es-MX"/>
        </w:rPr>
        <w:t xml:space="preserve"> hacia 2030</w:t>
      </w:r>
      <w:r w:rsidRPr="00CB1BCD">
        <w:rPr>
          <w:rFonts w:cs="Times New Roman"/>
          <w:lang w:val="es-MX"/>
        </w:rPr>
        <w:t>.</w:t>
      </w:r>
    </w:p>
    <w:p w14:paraId="44A736A8" w14:textId="77777777" w:rsidR="00956B0C" w:rsidRPr="00CB1BCD" w:rsidRDefault="00956B0C" w:rsidP="001C71C2">
      <w:pPr>
        <w:rPr>
          <w:rFonts w:cs="Times New Roman"/>
          <w:lang w:val="es-MX"/>
        </w:rPr>
      </w:pPr>
    </w:p>
    <w:p w14:paraId="28BFEA65" w14:textId="1C628F73" w:rsidR="00A82BB6" w:rsidRDefault="00A82BB6" w:rsidP="001C71C2">
      <w:pPr>
        <w:rPr>
          <w:rFonts w:cs="Times New Roman"/>
          <w:lang w:val="es-MX"/>
        </w:rPr>
      </w:pPr>
      <w:r w:rsidRPr="00CB1BCD">
        <w:rPr>
          <w:rFonts w:cs="Times New Roman"/>
          <w:lang w:val="es-MX"/>
        </w:rPr>
        <w:t>El procesamiento se realizó mediante Microsoft Excel</w:t>
      </w:r>
      <w:r w:rsidR="006552D3" w:rsidRPr="00CB1BCD">
        <w:rPr>
          <w:rFonts w:cs="Times New Roman"/>
          <w:lang w:val="es-MX"/>
        </w:rPr>
        <w:t>, aplicando las ecuaciones descritas en este apartado</w:t>
      </w:r>
      <w:r w:rsidRPr="00CB1BCD">
        <w:rPr>
          <w:rFonts w:cs="Times New Roman"/>
          <w:lang w:val="es-MX"/>
        </w:rPr>
        <w:t>. A partir de los parámetros de calibración, se estimaron las emisiones remanentes, las emisiones evitadas, la recaudación potencial, el beneficio ambiental, el costo de abatimiento y el bienestar parcial bajo distintos escenarios de precio al carbono.</w:t>
      </w:r>
    </w:p>
    <w:p w14:paraId="415A4D10" w14:textId="77777777" w:rsidR="00956B0C" w:rsidRPr="00CB1BCD" w:rsidRDefault="00956B0C" w:rsidP="001C71C2">
      <w:pPr>
        <w:rPr>
          <w:rFonts w:cs="Times New Roman"/>
          <w:lang w:val="es-MX"/>
        </w:rPr>
      </w:pPr>
    </w:p>
    <w:p w14:paraId="77535F06" w14:textId="76E6C904" w:rsidR="00A82BB6" w:rsidRPr="00CB1BCD" w:rsidRDefault="00A82BB6" w:rsidP="001C71C2">
      <w:pPr>
        <w:pStyle w:val="Ttulo2"/>
        <w:spacing w:line="360" w:lineRule="auto"/>
        <w:rPr>
          <w:color w:val="auto"/>
        </w:rPr>
      </w:pPr>
      <w:r w:rsidRPr="00CB1BCD">
        <w:rPr>
          <w:color w:val="auto"/>
        </w:rPr>
        <w:t>Datos y parámetros de calibración</w:t>
      </w:r>
    </w:p>
    <w:p w14:paraId="0C4182BF" w14:textId="398B8E3B" w:rsidR="00A82BB6" w:rsidRDefault="00A82BB6" w:rsidP="001C71C2">
      <w:pPr>
        <w:ind w:firstLine="708"/>
        <w:rPr>
          <w:rFonts w:cs="Times New Roman"/>
          <w:lang w:val="es-MX"/>
        </w:rPr>
      </w:pPr>
      <w:r w:rsidRPr="00CB1BCD">
        <w:rPr>
          <w:rFonts w:cs="Times New Roman"/>
          <w:lang w:val="es-MX"/>
        </w:rPr>
        <w:t xml:space="preserve">Los datos centrales de calibración se tomaron del escenario para México estimado mediante el </w:t>
      </w:r>
      <w:r w:rsidRPr="00CB1BCD">
        <w:rPr>
          <w:rFonts w:cs="Times New Roman"/>
          <w:i/>
          <w:iCs/>
          <w:lang w:val="es-MX"/>
        </w:rPr>
        <w:t>Carbon Pricing Assessment Tool</w:t>
      </w:r>
      <w:r w:rsidRPr="00CB1BCD">
        <w:rPr>
          <w:rFonts w:cs="Times New Roman"/>
          <w:lang w:val="es-MX"/>
        </w:rPr>
        <w:t xml:space="preserve"> del Fondo Monetario Internacional. En particular, se utilizaron tres valores reportados por Black </w:t>
      </w:r>
      <w:r w:rsidRPr="00CB1BCD">
        <w:rPr>
          <w:rFonts w:cs="Times New Roman"/>
          <w:i/>
          <w:iCs/>
          <w:lang w:val="es-MX"/>
        </w:rPr>
        <w:t>et al</w:t>
      </w:r>
      <w:r w:rsidRPr="00CB1BCD">
        <w:rPr>
          <w:rFonts w:cs="Times New Roman"/>
          <w:lang w:val="es-MX"/>
        </w:rPr>
        <w:t>. (2021)</w:t>
      </w:r>
      <w:r w:rsidR="007E585F" w:rsidRPr="00CB1BCD">
        <w:rPr>
          <w:rFonts w:cs="Times New Roman"/>
          <w:lang w:val="es-MX"/>
        </w:rPr>
        <w:t xml:space="preserve"> para dicho escenario</w:t>
      </w:r>
      <w:r w:rsidRPr="00CB1BCD">
        <w:rPr>
          <w:rFonts w:cs="Times New Roman"/>
          <w:lang w:val="es-MX"/>
        </w:rPr>
        <w:t>: un precio al carbono de 75 USD/tCO₂ hacia 2030, una reducción de emisiones de CO₂ de 23% respecto al escenario base y una recaudación potencial de 26,000 millones de dólares.</w:t>
      </w:r>
    </w:p>
    <w:p w14:paraId="67CA8E7B" w14:textId="77777777" w:rsidR="00956B0C" w:rsidRPr="00CB1BCD" w:rsidRDefault="00956B0C" w:rsidP="001C71C2">
      <w:pPr>
        <w:ind w:firstLine="708"/>
        <w:rPr>
          <w:rFonts w:cs="Times New Roman"/>
          <w:lang w:val="es-MX"/>
        </w:rPr>
      </w:pPr>
    </w:p>
    <w:p w14:paraId="48417F73" w14:textId="006AA381" w:rsidR="00A82BB6" w:rsidRDefault="00A82BB6" w:rsidP="001C71C2">
      <w:pPr>
        <w:rPr>
          <w:rFonts w:cs="Times New Roman"/>
          <w:lang w:val="es-MX"/>
        </w:rPr>
      </w:pPr>
      <w:r w:rsidRPr="00CB1BCD">
        <w:rPr>
          <w:rFonts w:cs="Times New Roman"/>
          <w:lang w:val="es-MX"/>
        </w:rPr>
        <w:t>El escenario de 75 USD/tCO₂ fue utilizado como punto ancla de la simulación</w:t>
      </w:r>
      <w:r w:rsidR="007C0ACB" w:rsidRPr="00CB1BCD">
        <w:rPr>
          <w:rFonts w:cs="Times New Roman"/>
          <w:lang w:val="es-MX"/>
        </w:rPr>
        <w:t>, es decir, como valor de referencia para calibrar la base contaminante inicial y el parámetro de respuesta de las emisiones</w:t>
      </w:r>
      <w:r w:rsidRPr="00CB1BCD">
        <w:rPr>
          <w:rFonts w:cs="Times New Roman"/>
          <w:lang w:val="es-MX"/>
        </w:rPr>
        <w:t xml:space="preserve">. Los escenarios de 25 y 50 USD/tCO₂ se construyeron como valores intermedios para observar el </w:t>
      </w:r>
      <w:r w:rsidRPr="00CB1BCD">
        <w:rPr>
          <w:rFonts w:cs="Times New Roman"/>
          <w:lang w:val="es-MX"/>
        </w:rPr>
        <w:lastRenderedPageBreak/>
        <w:t>comportamiento de la recaudación, las emisiones y el bienestar parcial bajo una trayectoria gradual de precio al carbono.</w:t>
      </w:r>
    </w:p>
    <w:p w14:paraId="1AD5E9C0" w14:textId="77777777" w:rsidR="00956B0C" w:rsidRPr="00CB1BCD" w:rsidRDefault="00956B0C" w:rsidP="001C71C2">
      <w:pPr>
        <w:rPr>
          <w:rFonts w:cs="Times New Roman"/>
          <w:lang w:val="es-MX"/>
        </w:rPr>
      </w:pPr>
    </w:p>
    <w:p w14:paraId="13C3431C" w14:textId="4570C91A" w:rsidR="00A82BB6" w:rsidRPr="00CB1BCD" w:rsidRDefault="00A82BB6" w:rsidP="001C71C2">
      <w:pPr>
        <w:rPr>
          <w:rFonts w:cs="Times New Roman"/>
          <w:lang w:val="es-MX"/>
        </w:rPr>
      </w:pPr>
      <w:r w:rsidRPr="00CB1BCD">
        <w:rPr>
          <w:rFonts w:cs="Times New Roman"/>
          <w:lang w:val="es-MX"/>
        </w:rPr>
        <w:t>La recaudación de 26,000 millones de dólares se interpretó como recaudación potencial bajo el escenario de 75 USD/tCO₂. Por tanto, no corresponde a la recaudación observada del Gobierno Federal mexicano</w:t>
      </w:r>
      <w:r w:rsidR="007C0ACB" w:rsidRPr="00CB1BCD">
        <w:rPr>
          <w:rFonts w:cs="Times New Roman"/>
          <w:lang w:val="es-MX"/>
        </w:rPr>
        <w:t xml:space="preserve"> ni representa una predicción oficial de ingresos fiscales</w:t>
      </w:r>
      <w:r w:rsidRPr="00CB1BCD">
        <w:rPr>
          <w:rFonts w:cs="Times New Roman"/>
          <w:lang w:val="es-MX"/>
        </w:rPr>
        <w:t>, sino a la estimación reportada por el Fondo Monetario Internacional para un escenario de fortalecimiento del precio al carbono.</w:t>
      </w:r>
    </w:p>
    <w:p w14:paraId="44F244F7" w14:textId="77777777" w:rsidR="00A82BB6" w:rsidRDefault="00A82BB6" w:rsidP="001C71C2">
      <w:pPr>
        <w:rPr>
          <w:rFonts w:cs="Times New Roman"/>
          <w:lang w:val="es-MX"/>
        </w:rPr>
      </w:pPr>
      <w:r w:rsidRPr="00CB1BCD">
        <w:rPr>
          <w:rFonts w:cs="Times New Roman"/>
          <w:lang w:val="es-MX"/>
        </w:rPr>
        <w:t>Los parámetros empleados fueron los siguientes:</w:t>
      </w:r>
    </w:p>
    <w:p w14:paraId="7AE99CA4" w14:textId="77777777" w:rsidR="00956B0C" w:rsidRPr="00CB1BCD" w:rsidRDefault="00956B0C" w:rsidP="001C71C2">
      <w:pPr>
        <w:rPr>
          <w:rFonts w:cs="Times New Roman"/>
          <w:lang w:val="es-MX"/>
        </w:rPr>
      </w:pPr>
    </w:p>
    <w:p w14:paraId="7AB6CDDB" w14:textId="32FC0C81" w:rsidR="00C2655B" w:rsidRPr="00CB1BCD" w:rsidRDefault="00A82BB6" w:rsidP="001C71C2">
      <w:pPr>
        <w:pStyle w:val="Descripcin"/>
        <w:keepNext/>
        <w:rPr>
          <w:rFonts w:cs="Times New Roman"/>
          <w:b w:val="0"/>
        </w:rPr>
      </w:pPr>
      <w:r w:rsidRPr="00CB1BCD">
        <w:rPr>
          <w:rFonts w:cs="Times New Roman"/>
          <w:i w:val="0"/>
        </w:rPr>
        <w:t xml:space="preserve">Tabla </w:t>
      </w:r>
      <w:r w:rsidRPr="00CB1BCD">
        <w:rPr>
          <w:rFonts w:cs="Times New Roman"/>
          <w:i w:val="0"/>
        </w:rPr>
        <w:fldChar w:fldCharType="begin"/>
      </w:r>
      <w:r w:rsidRPr="00CB1BCD">
        <w:rPr>
          <w:rFonts w:cs="Times New Roman"/>
          <w:i w:val="0"/>
        </w:rPr>
        <w:instrText xml:space="preserve"> SEQ Tabla \* ARABIC </w:instrText>
      </w:r>
      <w:r w:rsidRPr="00CB1BCD">
        <w:rPr>
          <w:rFonts w:cs="Times New Roman"/>
          <w:i w:val="0"/>
        </w:rPr>
        <w:fldChar w:fldCharType="separate"/>
      </w:r>
      <w:r w:rsidR="003A49E0">
        <w:rPr>
          <w:rFonts w:cs="Times New Roman"/>
          <w:i w:val="0"/>
          <w:noProof/>
        </w:rPr>
        <w:t>1</w:t>
      </w:r>
      <w:r w:rsidRPr="00CB1BCD">
        <w:rPr>
          <w:rFonts w:cs="Times New Roman"/>
          <w:i w:val="0"/>
        </w:rPr>
        <w:fldChar w:fldCharType="end"/>
      </w:r>
      <w:r w:rsidRPr="00CB1BCD">
        <w:rPr>
          <w:rFonts w:cs="Times New Roman"/>
          <w:i w:val="0"/>
        </w:rPr>
        <w:t>.</w:t>
      </w:r>
      <w:r w:rsidRPr="00CB1BCD">
        <w:rPr>
          <w:rFonts w:cs="Times New Roman"/>
        </w:rPr>
        <w:t xml:space="preserve"> </w:t>
      </w:r>
      <w:r w:rsidRPr="00CB1BCD">
        <w:rPr>
          <w:rFonts w:cs="Times New Roman"/>
          <w:b w:val="0"/>
        </w:rPr>
        <w:t>Parámetros empleados</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1784"/>
        <w:gridCol w:w="3386"/>
      </w:tblGrid>
      <w:tr w:rsidR="00931F78" w:rsidRPr="00CB1BCD" w14:paraId="014D14F7" w14:textId="77777777" w:rsidTr="00931F78">
        <w:trPr>
          <w:trHeight w:val="340"/>
          <w:jc w:val="center"/>
        </w:trPr>
        <w:tc>
          <w:tcPr>
            <w:tcW w:w="2432" w:type="pct"/>
            <w:tcBorders>
              <w:top w:val="single" w:sz="4" w:space="0" w:color="auto"/>
              <w:bottom w:val="single" w:sz="4" w:space="0" w:color="auto"/>
            </w:tcBorders>
            <w:vAlign w:val="center"/>
          </w:tcPr>
          <w:p w14:paraId="3B10731D" w14:textId="590CBD73" w:rsidR="00931F78" w:rsidRPr="00CB1BCD" w:rsidRDefault="00931F78" w:rsidP="001C71C2">
            <w:pPr>
              <w:jc w:val="center"/>
              <w:rPr>
                <w:rFonts w:cs="Times New Roman"/>
                <w:b/>
                <w:bCs/>
                <w:lang w:val="es-MX"/>
              </w:rPr>
            </w:pPr>
            <w:r w:rsidRPr="00CB1BCD">
              <w:rPr>
                <w:rFonts w:cs="Times New Roman"/>
                <w:b/>
                <w:bCs/>
                <w:lang w:val="es-MX"/>
              </w:rPr>
              <w:t>Parámetro</w:t>
            </w:r>
          </w:p>
        </w:tc>
        <w:tc>
          <w:tcPr>
            <w:tcW w:w="886" w:type="pct"/>
            <w:tcBorders>
              <w:top w:val="single" w:sz="4" w:space="0" w:color="auto"/>
              <w:bottom w:val="single" w:sz="4" w:space="0" w:color="auto"/>
            </w:tcBorders>
            <w:vAlign w:val="center"/>
          </w:tcPr>
          <w:p w14:paraId="514F75C2" w14:textId="4FF03CDF" w:rsidR="00931F78" w:rsidRPr="00CB1BCD" w:rsidRDefault="00931F78" w:rsidP="001C71C2">
            <w:pPr>
              <w:jc w:val="center"/>
              <w:rPr>
                <w:rFonts w:cs="Times New Roman"/>
                <w:b/>
                <w:bCs/>
                <w:lang w:val="es-MX"/>
              </w:rPr>
            </w:pPr>
            <w:r w:rsidRPr="00CB1BCD">
              <w:rPr>
                <w:rFonts w:cs="Times New Roman"/>
                <w:b/>
                <w:bCs/>
                <w:lang w:val="es-MX"/>
              </w:rPr>
              <w:t>Valor</w:t>
            </w:r>
          </w:p>
        </w:tc>
        <w:tc>
          <w:tcPr>
            <w:tcW w:w="1682" w:type="pct"/>
            <w:tcBorders>
              <w:top w:val="single" w:sz="4" w:space="0" w:color="auto"/>
              <w:bottom w:val="single" w:sz="4" w:space="0" w:color="auto"/>
            </w:tcBorders>
            <w:vAlign w:val="center"/>
          </w:tcPr>
          <w:p w14:paraId="70658285" w14:textId="364AA698" w:rsidR="00931F78" w:rsidRPr="00CB1BCD" w:rsidRDefault="00931F78" w:rsidP="001C71C2">
            <w:pPr>
              <w:jc w:val="center"/>
              <w:rPr>
                <w:rFonts w:cs="Times New Roman"/>
                <w:b/>
                <w:bCs/>
                <w:lang w:val="es-MX"/>
              </w:rPr>
            </w:pPr>
            <w:r w:rsidRPr="00CB1BCD">
              <w:rPr>
                <w:rFonts w:cs="Times New Roman"/>
                <w:b/>
                <w:bCs/>
                <w:lang w:val="es-MX"/>
              </w:rPr>
              <w:t>Unidad</w:t>
            </w:r>
          </w:p>
        </w:tc>
      </w:tr>
      <w:tr w:rsidR="00931F78" w:rsidRPr="00CB1BCD" w14:paraId="59E9DBB4" w14:textId="77777777" w:rsidTr="00931F78">
        <w:trPr>
          <w:trHeight w:val="340"/>
          <w:jc w:val="center"/>
        </w:trPr>
        <w:tc>
          <w:tcPr>
            <w:tcW w:w="2432" w:type="pct"/>
            <w:tcBorders>
              <w:top w:val="single" w:sz="4" w:space="0" w:color="auto"/>
            </w:tcBorders>
            <w:vAlign w:val="center"/>
          </w:tcPr>
          <w:p w14:paraId="052A09BF" w14:textId="7082EE97" w:rsidR="00931F78" w:rsidRPr="00CB1BCD" w:rsidRDefault="00931F78" w:rsidP="001C71C2">
            <w:pPr>
              <w:rPr>
                <w:rFonts w:cs="Times New Roman"/>
                <w:lang w:val="es-MX"/>
              </w:rPr>
            </w:pPr>
            <w:r w:rsidRPr="00CB1BCD">
              <w:rPr>
                <w:rFonts w:cs="Times New Roman"/>
                <w:lang w:val="es-MX"/>
              </w:rPr>
              <w:t>Precio ancla del carbono</w:t>
            </w:r>
          </w:p>
        </w:tc>
        <w:tc>
          <w:tcPr>
            <w:tcW w:w="886" w:type="pct"/>
            <w:tcBorders>
              <w:top w:val="single" w:sz="4" w:space="0" w:color="auto"/>
            </w:tcBorders>
            <w:vAlign w:val="center"/>
          </w:tcPr>
          <w:p w14:paraId="692834C6" w14:textId="276396EF" w:rsidR="00931F78" w:rsidRPr="00CB1BCD" w:rsidRDefault="00931F78" w:rsidP="001C71C2">
            <w:pPr>
              <w:jc w:val="center"/>
              <w:rPr>
                <w:rFonts w:cs="Times New Roman"/>
                <w:lang w:val="es-MX"/>
              </w:rPr>
            </w:pPr>
            <w:r w:rsidRPr="00CB1BCD">
              <w:rPr>
                <w:rFonts w:cs="Times New Roman"/>
                <w:lang w:val="es-MX"/>
              </w:rPr>
              <w:t>75</w:t>
            </w:r>
          </w:p>
        </w:tc>
        <w:tc>
          <w:tcPr>
            <w:tcW w:w="1682" w:type="pct"/>
            <w:tcBorders>
              <w:top w:val="single" w:sz="4" w:space="0" w:color="auto"/>
            </w:tcBorders>
            <w:vAlign w:val="center"/>
          </w:tcPr>
          <w:p w14:paraId="467D8F28" w14:textId="3810A4EA" w:rsidR="00931F78" w:rsidRPr="00CB1BCD" w:rsidRDefault="00931F78" w:rsidP="001C71C2">
            <w:pPr>
              <w:jc w:val="center"/>
              <w:rPr>
                <w:rFonts w:cs="Times New Roman"/>
                <w:lang w:val="es-MX"/>
              </w:rPr>
            </w:pPr>
            <w:r w:rsidRPr="00CB1BCD">
              <w:rPr>
                <w:rFonts w:cs="Times New Roman"/>
                <w:lang w:val="es-MX"/>
              </w:rPr>
              <w:t>USD/tCO</w:t>
            </w:r>
            <w:r w:rsidRPr="00CB1BCD">
              <w:rPr>
                <w:rFonts w:cs="Times New Roman"/>
                <w:vertAlign w:val="subscript"/>
                <w:lang w:val="es-MX"/>
              </w:rPr>
              <w:t>2</w:t>
            </w:r>
          </w:p>
        </w:tc>
      </w:tr>
      <w:tr w:rsidR="00931F78" w:rsidRPr="00CB1BCD" w14:paraId="3B146373" w14:textId="77777777" w:rsidTr="00931F78">
        <w:trPr>
          <w:trHeight w:val="340"/>
          <w:jc w:val="center"/>
        </w:trPr>
        <w:tc>
          <w:tcPr>
            <w:tcW w:w="2432" w:type="pct"/>
            <w:vAlign w:val="center"/>
          </w:tcPr>
          <w:p w14:paraId="7B9E70FD" w14:textId="0BD4BF38" w:rsidR="00931F78" w:rsidRPr="00CB1BCD" w:rsidRDefault="00931F78" w:rsidP="001C71C2">
            <w:pPr>
              <w:rPr>
                <w:rFonts w:cs="Times New Roman"/>
                <w:lang w:val="es-MX"/>
              </w:rPr>
            </w:pPr>
            <w:r w:rsidRPr="00CB1BCD">
              <w:rPr>
                <w:rFonts w:cs="Times New Roman"/>
                <w:lang w:val="es-MX"/>
              </w:rPr>
              <w:t>Reducción de emisiones al precio ancla</w:t>
            </w:r>
          </w:p>
        </w:tc>
        <w:tc>
          <w:tcPr>
            <w:tcW w:w="886" w:type="pct"/>
            <w:vAlign w:val="center"/>
          </w:tcPr>
          <w:p w14:paraId="20E9B8BC" w14:textId="65F1A5B8" w:rsidR="00931F78" w:rsidRPr="00CB1BCD" w:rsidRDefault="00931F78" w:rsidP="001C71C2">
            <w:pPr>
              <w:jc w:val="center"/>
              <w:rPr>
                <w:rFonts w:cs="Times New Roman"/>
                <w:lang w:val="es-MX"/>
              </w:rPr>
            </w:pPr>
            <w:r w:rsidRPr="00CB1BCD">
              <w:rPr>
                <w:rFonts w:cs="Times New Roman"/>
                <w:lang w:val="es-MX"/>
              </w:rPr>
              <w:t>23</w:t>
            </w:r>
          </w:p>
        </w:tc>
        <w:tc>
          <w:tcPr>
            <w:tcW w:w="1682" w:type="pct"/>
            <w:vAlign w:val="center"/>
          </w:tcPr>
          <w:p w14:paraId="4160D692" w14:textId="593C6BA2" w:rsidR="00931F78" w:rsidRPr="00CB1BCD" w:rsidRDefault="00931F78" w:rsidP="001C71C2">
            <w:pPr>
              <w:jc w:val="center"/>
              <w:rPr>
                <w:rFonts w:cs="Times New Roman"/>
                <w:lang w:val="es-MX"/>
              </w:rPr>
            </w:pPr>
            <w:r w:rsidRPr="00CB1BCD">
              <w:rPr>
                <w:rFonts w:cs="Times New Roman"/>
                <w:lang w:val="es-MX"/>
              </w:rPr>
              <w:t>%</w:t>
            </w:r>
          </w:p>
        </w:tc>
      </w:tr>
      <w:tr w:rsidR="00931F78" w:rsidRPr="00CB1BCD" w14:paraId="7FC45A22" w14:textId="77777777" w:rsidTr="00931F78">
        <w:trPr>
          <w:trHeight w:val="340"/>
          <w:jc w:val="center"/>
        </w:trPr>
        <w:tc>
          <w:tcPr>
            <w:tcW w:w="2432" w:type="pct"/>
            <w:vAlign w:val="center"/>
          </w:tcPr>
          <w:p w14:paraId="18380666" w14:textId="73785EC1" w:rsidR="00931F78" w:rsidRPr="00CB1BCD" w:rsidRDefault="00931F78" w:rsidP="001C71C2">
            <w:pPr>
              <w:rPr>
                <w:rFonts w:cs="Times New Roman"/>
                <w:lang w:val="es-MX"/>
              </w:rPr>
            </w:pPr>
            <w:r w:rsidRPr="00CB1BCD">
              <w:rPr>
                <w:rFonts w:cs="Times New Roman"/>
                <w:lang w:val="es-MX"/>
              </w:rPr>
              <w:t>Recaudación potencial al precio ancla</w:t>
            </w:r>
          </w:p>
        </w:tc>
        <w:tc>
          <w:tcPr>
            <w:tcW w:w="886" w:type="pct"/>
            <w:vAlign w:val="center"/>
          </w:tcPr>
          <w:p w14:paraId="7A34C600" w14:textId="7321CBA6" w:rsidR="00931F78" w:rsidRPr="00CB1BCD" w:rsidRDefault="00931F78" w:rsidP="001C71C2">
            <w:pPr>
              <w:jc w:val="center"/>
              <w:rPr>
                <w:rFonts w:cs="Times New Roman"/>
                <w:lang w:val="es-MX"/>
              </w:rPr>
            </w:pPr>
            <w:r w:rsidRPr="00CB1BCD">
              <w:rPr>
                <w:rFonts w:cs="Times New Roman"/>
                <w:lang w:val="es-MX"/>
              </w:rPr>
              <w:t>26,000</w:t>
            </w:r>
          </w:p>
        </w:tc>
        <w:tc>
          <w:tcPr>
            <w:tcW w:w="1682" w:type="pct"/>
            <w:vAlign w:val="center"/>
          </w:tcPr>
          <w:p w14:paraId="559CE9DB" w14:textId="28E5B43E" w:rsidR="00931F78" w:rsidRPr="00CB1BCD" w:rsidRDefault="009B76FF" w:rsidP="001C71C2">
            <w:pPr>
              <w:jc w:val="center"/>
              <w:rPr>
                <w:rFonts w:cs="Times New Roman"/>
                <w:lang w:val="es-MX"/>
              </w:rPr>
            </w:pPr>
            <w:r w:rsidRPr="00CB1BCD">
              <w:rPr>
                <w:rFonts w:cs="Times New Roman"/>
                <w:lang w:val="es-MX"/>
              </w:rPr>
              <w:t>m</w:t>
            </w:r>
            <w:r w:rsidR="00931F78" w:rsidRPr="00CB1BCD">
              <w:rPr>
                <w:rFonts w:cs="Times New Roman"/>
                <w:lang w:val="es-MX"/>
              </w:rPr>
              <w:t>illones de USD</w:t>
            </w:r>
          </w:p>
        </w:tc>
      </w:tr>
      <w:tr w:rsidR="00931F78" w:rsidRPr="00CB1BCD" w14:paraId="20674559" w14:textId="77777777" w:rsidTr="00931F78">
        <w:trPr>
          <w:trHeight w:val="340"/>
          <w:jc w:val="center"/>
        </w:trPr>
        <w:tc>
          <w:tcPr>
            <w:tcW w:w="2432" w:type="pct"/>
            <w:vAlign w:val="center"/>
          </w:tcPr>
          <w:p w14:paraId="2AC2D9EA" w14:textId="4FE4FC58" w:rsidR="00931F78" w:rsidRPr="00CB1BCD" w:rsidRDefault="00931F78" w:rsidP="001C71C2">
            <w:pPr>
              <w:rPr>
                <w:rFonts w:cs="Times New Roman"/>
                <w:lang w:val="es-MX"/>
              </w:rPr>
            </w:pPr>
            <w:r w:rsidRPr="00CB1BCD">
              <w:rPr>
                <w:rFonts w:cs="Times New Roman"/>
                <w:lang w:val="es-MX"/>
              </w:rPr>
              <w:t>Recaudación respecto al PIB</w:t>
            </w:r>
          </w:p>
        </w:tc>
        <w:tc>
          <w:tcPr>
            <w:tcW w:w="886" w:type="pct"/>
            <w:vAlign w:val="center"/>
          </w:tcPr>
          <w:p w14:paraId="6CA537F3" w14:textId="33AFDA9D" w:rsidR="00931F78" w:rsidRPr="00CB1BCD" w:rsidRDefault="00931F78" w:rsidP="001C71C2">
            <w:pPr>
              <w:jc w:val="center"/>
              <w:rPr>
                <w:rFonts w:cs="Times New Roman"/>
                <w:lang w:val="es-MX"/>
              </w:rPr>
            </w:pPr>
            <w:r w:rsidRPr="00CB1BCD">
              <w:rPr>
                <w:rFonts w:cs="Times New Roman"/>
                <w:lang w:val="es-MX"/>
              </w:rPr>
              <w:t>1.8</w:t>
            </w:r>
          </w:p>
        </w:tc>
        <w:tc>
          <w:tcPr>
            <w:tcW w:w="1682" w:type="pct"/>
            <w:vAlign w:val="center"/>
          </w:tcPr>
          <w:p w14:paraId="196059F2" w14:textId="617D12B5" w:rsidR="00931F78" w:rsidRPr="00CB1BCD" w:rsidRDefault="00931F78" w:rsidP="001C71C2">
            <w:pPr>
              <w:jc w:val="center"/>
              <w:rPr>
                <w:rFonts w:cs="Times New Roman"/>
                <w:lang w:val="es-MX"/>
              </w:rPr>
            </w:pPr>
            <w:r w:rsidRPr="00CB1BCD">
              <w:rPr>
                <w:rFonts w:cs="Times New Roman"/>
                <w:lang w:val="es-MX"/>
              </w:rPr>
              <w:t>%</w:t>
            </w:r>
          </w:p>
        </w:tc>
      </w:tr>
      <w:tr w:rsidR="00931F78" w:rsidRPr="00CB1BCD" w14:paraId="73828C60" w14:textId="77777777" w:rsidTr="00931F78">
        <w:trPr>
          <w:trHeight w:val="340"/>
          <w:jc w:val="center"/>
        </w:trPr>
        <w:tc>
          <w:tcPr>
            <w:tcW w:w="2432" w:type="pct"/>
            <w:vAlign w:val="center"/>
          </w:tcPr>
          <w:p w14:paraId="34DC3628" w14:textId="3CD31C7B" w:rsidR="00931F78" w:rsidRPr="00CB1BCD" w:rsidRDefault="00931F78" w:rsidP="001C71C2">
            <w:pPr>
              <w:rPr>
                <w:rFonts w:cs="Times New Roman"/>
                <w:lang w:val="es-MX"/>
              </w:rPr>
            </w:pPr>
            <w:r w:rsidRPr="00CB1BCD">
              <w:rPr>
                <w:rFonts w:cs="Times New Roman"/>
                <w:lang w:val="es-MX"/>
              </w:rPr>
              <w:t>Costo social del carbono de referencia</w:t>
            </w:r>
            <w:r w:rsidR="00064FB7" w:rsidRPr="00CB1BCD">
              <w:rPr>
                <w:rFonts w:cs="Times New Roman"/>
                <w:lang w:val="es-MX"/>
              </w:rPr>
              <w:t xml:space="preserve"> (CSC)</w:t>
            </w:r>
          </w:p>
        </w:tc>
        <w:tc>
          <w:tcPr>
            <w:tcW w:w="886" w:type="pct"/>
            <w:vAlign w:val="center"/>
          </w:tcPr>
          <w:p w14:paraId="1C46667F" w14:textId="17E73AE4" w:rsidR="00931F78" w:rsidRPr="00CB1BCD" w:rsidRDefault="00931F78" w:rsidP="001C71C2">
            <w:pPr>
              <w:jc w:val="center"/>
              <w:rPr>
                <w:rFonts w:cs="Times New Roman"/>
                <w:lang w:val="es-MX"/>
              </w:rPr>
            </w:pPr>
            <w:r w:rsidRPr="00CB1BCD">
              <w:rPr>
                <w:rFonts w:cs="Times New Roman"/>
                <w:lang w:val="es-MX"/>
              </w:rPr>
              <w:t>75</w:t>
            </w:r>
          </w:p>
        </w:tc>
        <w:tc>
          <w:tcPr>
            <w:tcW w:w="1682" w:type="pct"/>
            <w:vAlign w:val="center"/>
          </w:tcPr>
          <w:p w14:paraId="53D6D3A7" w14:textId="00657E6E" w:rsidR="00931F78" w:rsidRPr="00CB1BCD" w:rsidRDefault="00931F78" w:rsidP="001C71C2">
            <w:pPr>
              <w:jc w:val="center"/>
              <w:rPr>
                <w:rFonts w:cs="Times New Roman"/>
                <w:lang w:val="es-MX"/>
              </w:rPr>
            </w:pPr>
            <w:r w:rsidRPr="00CB1BCD">
              <w:rPr>
                <w:rFonts w:cs="Times New Roman"/>
                <w:lang w:val="es-MX"/>
              </w:rPr>
              <w:t>USD/tCO</w:t>
            </w:r>
            <w:r w:rsidRPr="00CB1BCD">
              <w:rPr>
                <w:rFonts w:cs="Times New Roman"/>
                <w:vertAlign w:val="subscript"/>
                <w:lang w:val="es-MX"/>
              </w:rPr>
              <w:t>2</w:t>
            </w:r>
          </w:p>
        </w:tc>
      </w:tr>
      <w:tr w:rsidR="00931F78" w:rsidRPr="00CB1BCD" w14:paraId="189C975F" w14:textId="77777777" w:rsidTr="00931F78">
        <w:trPr>
          <w:trHeight w:val="340"/>
          <w:jc w:val="center"/>
        </w:trPr>
        <w:tc>
          <w:tcPr>
            <w:tcW w:w="2432" w:type="pct"/>
            <w:tcBorders>
              <w:bottom w:val="single" w:sz="4" w:space="0" w:color="auto"/>
            </w:tcBorders>
            <w:vAlign w:val="center"/>
          </w:tcPr>
          <w:p w14:paraId="72502F7D" w14:textId="2A0F5D33" w:rsidR="00931F78" w:rsidRPr="00CB1BCD" w:rsidRDefault="009B76FF" w:rsidP="001C71C2">
            <w:pPr>
              <w:rPr>
                <w:rFonts w:cs="Times New Roman"/>
                <w:lang w:val="es-MX"/>
              </w:rPr>
            </w:pPr>
            <w:r w:rsidRPr="00CB1BCD">
              <w:rPr>
                <w:rFonts w:cs="Times New Roman"/>
                <w:lang w:val="es-MX"/>
              </w:rPr>
              <w:t>Malla</w:t>
            </w:r>
            <w:r w:rsidR="00931F78" w:rsidRPr="00CB1BCD">
              <w:rPr>
                <w:rFonts w:cs="Times New Roman"/>
                <w:lang w:val="es-MX"/>
              </w:rPr>
              <w:t xml:space="preserve"> de precios simulados</w:t>
            </w:r>
          </w:p>
        </w:tc>
        <w:tc>
          <w:tcPr>
            <w:tcW w:w="886" w:type="pct"/>
            <w:tcBorders>
              <w:bottom w:val="single" w:sz="4" w:space="0" w:color="auto"/>
            </w:tcBorders>
            <w:vAlign w:val="center"/>
          </w:tcPr>
          <w:p w14:paraId="3020AE44" w14:textId="156834F5" w:rsidR="00931F78" w:rsidRPr="00CB1BCD" w:rsidRDefault="00931F78" w:rsidP="001C71C2">
            <w:pPr>
              <w:jc w:val="center"/>
              <w:rPr>
                <w:rFonts w:cs="Times New Roman"/>
                <w:lang w:val="es-MX"/>
              </w:rPr>
            </w:pPr>
            <w:r w:rsidRPr="00CB1BCD">
              <w:rPr>
                <w:rFonts w:cs="Times New Roman"/>
                <w:lang w:val="es-MX"/>
              </w:rPr>
              <w:t>0</w:t>
            </w:r>
            <w:r w:rsidR="009B76FF" w:rsidRPr="00CB1BCD">
              <w:rPr>
                <w:rFonts w:cs="Times New Roman"/>
              </w:rPr>
              <w:t>–</w:t>
            </w:r>
            <w:r w:rsidRPr="00CB1BCD">
              <w:rPr>
                <w:rFonts w:cs="Times New Roman"/>
                <w:lang w:val="es-MX"/>
              </w:rPr>
              <w:t>400</w:t>
            </w:r>
          </w:p>
        </w:tc>
        <w:tc>
          <w:tcPr>
            <w:tcW w:w="1682" w:type="pct"/>
            <w:tcBorders>
              <w:bottom w:val="single" w:sz="4" w:space="0" w:color="auto"/>
            </w:tcBorders>
            <w:vAlign w:val="center"/>
          </w:tcPr>
          <w:p w14:paraId="70CA3693" w14:textId="2F82FB0E" w:rsidR="00931F78" w:rsidRPr="00CB1BCD" w:rsidRDefault="00931F78" w:rsidP="001C71C2">
            <w:pPr>
              <w:jc w:val="center"/>
              <w:rPr>
                <w:rFonts w:cs="Times New Roman"/>
                <w:vertAlign w:val="subscript"/>
                <w:lang w:val="es-MX"/>
              </w:rPr>
            </w:pPr>
            <w:r w:rsidRPr="00CB1BCD">
              <w:rPr>
                <w:rFonts w:cs="Times New Roman"/>
                <w:lang w:val="es-MX"/>
              </w:rPr>
              <w:t>USD/tCO</w:t>
            </w:r>
            <w:r w:rsidRPr="00CB1BCD">
              <w:rPr>
                <w:rFonts w:cs="Times New Roman"/>
                <w:vertAlign w:val="subscript"/>
                <w:lang w:val="es-MX"/>
              </w:rPr>
              <w:t>2</w:t>
            </w:r>
          </w:p>
        </w:tc>
      </w:tr>
    </w:tbl>
    <w:p w14:paraId="2DE33647" w14:textId="5E9B4C4A" w:rsidR="00A82BB6" w:rsidRDefault="00607595" w:rsidP="001C71C2">
      <w:pPr>
        <w:jc w:val="center"/>
        <w:rPr>
          <w:rFonts w:cs="Times New Roman"/>
          <w:lang w:val="es-MX"/>
        </w:rPr>
      </w:pPr>
      <w:r w:rsidRPr="00CB1BCD">
        <w:rPr>
          <w:rFonts w:cs="Times New Roman"/>
          <w:lang w:val="es-MX"/>
        </w:rPr>
        <w:t>Fuente: elaboración propia</w:t>
      </w:r>
      <w:r w:rsidR="002E59B5" w:rsidRPr="00CB1BCD">
        <w:rPr>
          <w:rFonts w:cs="Times New Roman"/>
          <w:lang w:val="es-MX"/>
        </w:rPr>
        <w:t xml:space="preserve"> con base en </w:t>
      </w:r>
      <w:r w:rsidR="002E59B5" w:rsidRPr="00CB1BCD">
        <w:rPr>
          <w:rFonts w:cs="Times New Roman"/>
          <w:lang w:val="es-MX"/>
        </w:rPr>
        <w:fldChar w:fldCharType="begin" w:fldLock="1"/>
      </w:r>
      <w:r w:rsidR="00EA3573" w:rsidRPr="00CB1BCD">
        <w:rPr>
          <w:rFonts w:cs="Times New Roman"/>
          <w:lang w:val="es-MX"/>
        </w:rPr>
        <w:instrText>ADDIN CSL_CITATION {"citationItems":[{"id":"ITEM-1","itemData":{"DOI":"10.5089/9781513599847.001","ISSN":"1018-5941","abstract":"… However, recycling carbon pricing revenues would offset most of this burden, and targeted transfers could make the reform pro-poor and pro-equity. Additionally, the economic efficiency …","author":[{"dropping-particle":"","family":"Black","given":"Simon","non-dropping-particle":"","parse-names":false,"suffix":""},{"dropping-particle":"","family":"Kirabaeva","given":"Koralai","non-dropping-particle":"","parse-names":false,"suffix":""},{"dropping-particle":"","family":"Parry","given":"Ian","non-dropping-particle":"","parse-names":false,"suffix":""},{"dropping-particle":"","family":"Raissi","given":"Mehdi","non-dropping-particle":"","parse-names":false,"suffix":""},{"dropping-particle":"","family":"Zhunussova","given":"Karlygash","non-dropping-particle":"","parse-names":false,"suffix":""}],"container-title":"IMF Working Papers","id":"ITEM-1","issue":"246","issued":{"date-parts":[["2021"]]},"page":"1","title":"A Comprehensive Climate Mitigation Strategy for Mexico","type":"article-journal","volume":"2021"},"uris":["http://www.mendeley.com/documents/?uuid=370c1e96-e609-4c81-8d6f-72855191d330"]}],"mendeley":{"formattedCitation":"(Black &lt;i&gt;et al.&lt;/i&gt;, 2021)","manualFormatting":"Black et al. (2021)","plainTextFormattedCitation":"(Black et al., 2021)","previouslyFormattedCitation":"(Black &lt;i&gt;et al.&lt;/i&gt;, 2021)"},"properties":{"noteIndex":0},"schema":"https://github.com/citation-style-language/schema/raw/master/csl-citation.json"}</w:instrText>
      </w:r>
      <w:r w:rsidR="002E59B5" w:rsidRPr="00CB1BCD">
        <w:rPr>
          <w:rFonts w:cs="Times New Roman"/>
          <w:lang w:val="es-MX"/>
        </w:rPr>
        <w:fldChar w:fldCharType="separate"/>
      </w:r>
      <w:r w:rsidR="002E59B5" w:rsidRPr="00CB1BCD">
        <w:rPr>
          <w:rFonts w:cs="Times New Roman"/>
          <w:noProof/>
          <w:lang w:val="es-MX"/>
        </w:rPr>
        <w:t xml:space="preserve">Black </w:t>
      </w:r>
      <w:r w:rsidR="002E59B5" w:rsidRPr="00CB1BCD">
        <w:rPr>
          <w:rFonts w:cs="Times New Roman"/>
          <w:i/>
          <w:noProof/>
          <w:lang w:val="es-MX"/>
        </w:rPr>
        <w:t>et al.</w:t>
      </w:r>
      <w:r w:rsidR="002E59B5" w:rsidRPr="00CB1BCD">
        <w:rPr>
          <w:rFonts w:cs="Times New Roman"/>
          <w:noProof/>
          <w:lang w:val="es-MX"/>
        </w:rPr>
        <w:t xml:space="preserve"> (2021)</w:t>
      </w:r>
      <w:r w:rsidR="002E59B5" w:rsidRPr="00CB1BCD">
        <w:rPr>
          <w:rFonts w:cs="Times New Roman"/>
          <w:lang w:val="es-MX"/>
        </w:rPr>
        <w:fldChar w:fldCharType="end"/>
      </w:r>
      <w:r w:rsidRPr="00CB1BCD">
        <w:rPr>
          <w:rFonts w:cs="Times New Roman"/>
          <w:lang w:val="es-MX"/>
        </w:rPr>
        <w:t>.</w:t>
      </w:r>
    </w:p>
    <w:p w14:paraId="6588F806" w14:textId="77777777" w:rsidR="00956B0C" w:rsidRPr="00CB1BCD" w:rsidRDefault="00956B0C" w:rsidP="001C71C2">
      <w:pPr>
        <w:jc w:val="center"/>
        <w:rPr>
          <w:rFonts w:cs="Times New Roman"/>
          <w:lang w:val="es-MX"/>
        </w:rPr>
      </w:pPr>
    </w:p>
    <w:p w14:paraId="5B9564CB" w14:textId="3A673BE5" w:rsidR="00E577E5" w:rsidRDefault="00E577E5" w:rsidP="001C71C2">
      <w:pPr>
        <w:jc w:val="center"/>
        <w:rPr>
          <w:rFonts w:cs="Times New Roman"/>
          <w:lang w:val="es-MX"/>
        </w:rPr>
      </w:pPr>
      <w:r w:rsidRPr="00CB1BCD">
        <w:rPr>
          <w:rFonts w:cs="Times New Roman"/>
          <w:lang w:val="es-MX"/>
        </w:rPr>
        <w:t>Nota: USD = dólares estadounidenses; PIB = producto interno bruto; tCO</w:t>
      </w:r>
      <w:r w:rsidRPr="00CB1BCD">
        <w:rPr>
          <w:rFonts w:cs="Times New Roman"/>
          <w:vertAlign w:val="subscript"/>
          <w:lang w:val="es-MX"/>
        </w:rPr>
        <w:t>2</w:t>
      </w:r>
      <w:r w:rsidRPr="00CB1BCD">
        <w:rPr>
          <w:rFonts w:cs="Times New Roman"/>
          <w:lang w:val="es-MX"/>
        </w:rPr>
        <w:t xml:space="preserve"> = tonelada de CO</w:t>
      </w:r>
      <w:r w:rsidRPr="00CB1BCD">
        <w:rPr>
          <w:rFonts w:cs="Times New Roman"/>
          <w:vertAlign w:val="subscript"/>
          <w:lang w:val="es-MX"/>
        </w:rPr>
        <w:t>2</w:t>
      </w:r>
      <w:r w:rsidRPr="00CB1BCD">
        <w:rPr>
          <w:rFonts w:cs="Times New Roman"/>
          <w:lang w:val="es-MX"/>
        </w:rPr>
        <w:t>; MtCO</w:t>
      </w:r>
      <w:r w:rsidRPr="00CB1BCD">
        <w:rPr>
          <w:rFonts w:cs="Times New Roman"/>
          <w:vertAlign w:val="subscript"/>
          <w:lang w:val="es-MX"/>
        </w:rPr>
        <w:t>2</w:t>
      </w:r>
      <w:r w:rsidRPr="00CB1BCD">
        <w:rPr>
          <w:rFonts w:cs="Times New Roman"/>
          <w:lang w:val="es-MX"/>
        </w:rPr>
        <w:t xml:space="preserve"> = millones de toneladas de CO</w:t>
      </w:r>
      <w:r w:rsidRPr="00CB1BCD">
        <w:rPr>
          <w:rFonts w:cs="Times New Roman"/>
          <w:vertAlign w:val="subscript"/>
          <w:lang w:val="es-MX"/>
        </w:rPr>
        <w:t>2</w:t>
      </w:r>
      <w:r w:rsidRPr="00CB1BCD">
        <w:rPr>
          <w:rFonts w:cs="Times New Roman"/>
          <w:lang w:val="es-MX"/>
        </w:rPr>
        <w:t>.</w:t>
      </w:r>
      <w:r w:rsidR="00064FB7" w:rsidRPr="00CB1BCD">
        <w:rPr>
          <w:rFonts w:cs="Times New Roman"/>
          <w:lang w:val="es-MX"/>
        </w:rPr>
        <w:t xml:space="preserve"> El CSC se utiliza como parámetro de referencia para monetizar emisiones evitadas.</w:t>
      </w:r>
    </w:p>
    <w:p w14:paraId="5D2E5B72" w14:textId="77777777" w:rsidR="00956B0C" w:rsidRPr="00CB1BCD" w:rsidRDefault="00956B0C" w:rsidP="001C71C2">
      <w:pPr>
        <w:jc w:val="center"/>
        <w:rPr>
          <w:rFonts w:cs="Times New Roman"/>
          <w:lang w:val="es-MX"/>
        </w:rPr>
      </w:pPr>
    </w:p>
    <w:p w14:paraId="614FE984" w14:textId="09E74F1B" w:rsidR="00607595" w:rsidRPr="00CB1BCD" w:rsidRDefault="00607595" w:rsidP="001C71C2">
      <w:pPr>
        <w:pStyle w:val="Ttulo2"/>
        <w:spacing w:line="360" w:lineRule="auto"/>
        <w:rPr>
          <w:color w:val="auto"/>
        </w:rPr>
      </w:pPr>
      <w:r w:rsidRPr="00CB1BCD">
        <w:rPr>
          <w:color w:val="auto"/>
        </w:rPr>
        <w:t>Especificación teórica del modelo</w:t>
      </w:r>
    </w:p>
    <w:p w14:paraId="11E81C1B" w14:textId="77777777" w:rsidR="00607595" w:rsidRDefault="00607595" w:rsidP="001C71C2">
      <w:pPr>
        <w:ind w:firstLine="708"/>
        <w:rPr>
          <w:rFonts w:cs="Times New Roman"/>
          <w:lang w:val="es-MX"/>
        </w:rPr>
      </w:pPr>
      <w:r w:rsidRPr="00CB1BCD">
        <w:rPr>
          <w:rFonts w:cs="Times New Roman"/>
          <w:lang w:val="es-MX"/>
        </w:rPr>
        <w:t>La especificación teórica se fundamentó en el enfoque pigouviano de la tributación ambiental. De acuerdo con este planteamiento, un impuesto ambiental debe corregir una externalidad negativa mediante la incorporación del daño marginal social en el precio de la actividad contaminante.</w:t>
      </w:r>
    </w:p>
    <w:p w14:paraId="324EE3E2" w14:textId="77777777" w:rsidR="00956B0C" w:rsidRPr="00CB1BCD" w:rsidRDefault="00956B0C" w:rsidP="001C71C2">
      <w:pPr>
        <w:ind w:firstLine="708"/>
        <w:rPr>
          <w:rFonts w:cs="Times New Roman"/>
          <w:lang w:val="es-MX"/>
        </w:rPr>
      </w:pPr>
    </w:p>
    <w:p w14:paraId="108AEB5D" w14:textId="5A1E656A" w:rsidR="00607595" w:rsidRDefault="00607595" w:rsidP="001C71C2">
      <w:pPr>
        <w:rPr>
          <w:rFonts w:cs="Times New Roman"/>
          <w:lang w:val="es-MX"/>
        </w:rPr>
      </w:pPr>
      <w:r w:rsidRPr="00CB1BCD">
        <w:rPr>
          <w:rFonts w:cs="Times New Roman"/>
          <w:lang w:val="es-MX"/>
        </w:rPr>
        <w:t xml:space="preserve">Sea </w:t>
      </w:r>
      <m:oMath>
        <m:r>
          <w:rPr>
            <w:rFonts w:ascii="Cambria Math" w:hAnsi="Cambria Math" w:cs="Times New Roman"/>
            <w:lang w:val="es-MX"/>
          </w:rPr>
          <m:t>E</m:t>
        </m:r>
      </m:oMath>
      <w:r w:rsidRPr="00CB1BCD">
        <w:rPr>
          <w:rFonts w:eastAsiaTheme="minorEastAsia" w:cs="Times New Roman"/>
          <w:lang w:val="es-MX"/>
        </w:rPr>
        <w:t xml:space="preserve"> </w:t>
      </w:r>
      <w:r w:rsidRPr="00CB1BCD">
        <w:rPr>
          <w:rFonts w:cs="Times New Roman"/>
          <w:lang w:val="es-MX"/>
        </w:rPr>
        <w:t xml:space="preserve">el nivel de emisiones de CO₂, </w:t>
      </w:r>
      <m:oMath>
        <m:r>
          <w:rPr>
            <w:rFonts w:ascii="Cambria Math" w:hAnsi="Cambria Math" w:cs="Times New Roman"/>
            <w:lang w:val="es-MX"/>
          </w:rPr>
          <m:t>B(E)</m:t>
        </m:r>
      </m:oMath>
      <w:r w:rsidRPr="00CB1BCD">
        <w:rPr>
          <w:rFonts w:eastAsiaTheme="minorEastAsia" w:cs="Times New Roman"/>
          <w:lang w:val="es-MX"/>
        </w:rPr>
        <w:t xml:space="preserve"> </w:t>
      </w:r>
      <w:r w:rsidRPr="00CB1BCD">
        <w:rPr>
          <w:rFonts w:cs="Times New Roman"/>
          <w:lang w:val="es-MX"/>
        </w:rPr>
        <w:t xml:space="preserve">el beneficio privado asociado a la actividad económica que genera emisiones y </w:t>
      </w:r>
      <m:oMath>
        <m:r>
          <w:rPr>
            <w:rFonts w:ascii="Cambria Math" w:hAnsi="Cambria Math" w:cs="Times New Roman"/>
            <w:lang w:val="es-MX"/>
          </w:rPr>
          <m:t>D(E)</m:t>
        </m:r>
      </m:oMath>
      <w:r w:rsidRPr="00CB1BCD">
        <w:rPr>
          <w:rFonts w:eastAsiaTheme="minorEastAsia" w:cs="Times New Roman"/>
          <w:lang w:val="es-MX"/>
        </w:rPr>
        <w:t xml:space="preserve"> </w:t>
      </w:r>
      <w:r w:rsidRPr="00CB1BCD">
        <w:rPr>
          <w:rFonts w:cs="Times New Roman"/>
          <w:lang w:val="es-MX"/>
        </w:rPr>
        <w:t>el daño ambiental provocado por dichas emisiones. Bajo este planteamiento, el bienestar social se expresó como:</w:t>
      </w:r>
    </w:p>
    <w:p w14:paraId="0495A855" w14:textId="77777777" w:rsidR="00956B0C" w:rsidRPr="00CB1BCD" w:rsidRDefault="00956B0C" w:rsidP="001C71C2">
      <w:pPr>
        <w:rPr>
          <w:rFonts w:cs="Times New Roman"/>
          <w:lang w:val="es-MX"/>
        </w:rPr>
      </w:pPr>
    </w:p>
    <w:p w14:paraId="3C740110" w14:textId="5B25859F" w:rsidR="00607595" w:rsidRPr="00956B0C" w:rsidRDefault="00607595" w:rsidP="001C71C2">
      <w:pPr>
        <w:rPr>
          <w:rFonts w:eastAsiaTheme="minorEastAsia" w:cs="Times New Roman"/>
          <w:lang w:val="es-MX"/>
        </w:rPr>
      </w:pPr>
      <m:oMathPara>
        <m:oMath>
          <m:r>
            <w:rPr>
              <w:rFonts w:ascii="Cambria Math" w:hAnsi="Cambria Math" w:cs="Times New Roman"/>
              <w:lang w:val="es-MX"/>
            </w:rPr>
            <m:t>W(E)=B(E)-D(E)</m:t>
          </m:r>
        </m:oMath>
      </m:oMathPara>
    </w:p>
    <w:p w14:paraId="2602E971" w14:textId="77777777" w:rsidR="00956B0C" w:rsidRPr="00CB1BCD" w:rsidRDefault="00956B0C" w:rsidP="001C71C2">
      <w:pPr>
        <w:rPr>
          <w:rFonts w:cs="Times New Roman"/>
          <w:lang w:val="es-MX"/>
        </w:rPr>
      </w:pPr>
    </w:p>
    <w:p w14:paraId="49599815" w14:textId="0B20B3A8" w:rsidR="00607595" w:rsidRDefault="00607595" w:rsidP="001C71C2">
      <w:pPr>
        <w:rPr>
          <w:rFonts w:cs="Times New Roman"/>
          <w:lang w:val="es-MX"/>
        </w:rPr>
      </w:pPr>
      <w:r w:rsidRPr="00CB1BCD">
        <w:rPr>
          <w:rFonts w:cs="Times New Roman"/>
          <w:lang w:val="es-MX"/>
        </w:rPr>
        <w:t>El nivel eficiente de emisiones se obtiene</w:t>
      </w:r>
      <w:r w:rsidR="002A02FA" w:rsidRPr="00CB1BCD">
        <w:rPr>
          <w:rFonts w:cs="Times New Roman"/>
          <w:lang w:val="es-MX"/>
        </w:rPr>
        <w:t>, bajo los supuestos de diferenciabilidad y concavidad,</w:t>
      </w:r>
      <w:r w:rsidRPr="00CB1BCD">
        <w:rPr>
          <w:rFonts w:cs="Times New Roman"/>
          <w:lang w:val="es-MX"/>
        </w:rPr>
        <w:t xml:space="preserve"> cuando el beneficio marginal privado se iguala al daño marginal ambiental:</w:t>
      </w:r>
    </w:p>
    <w:p w14:paraId="350D205D" w14:textId="77777777" w:rsidR="00956B0C" w:rsidRPr="00CB1BCD" w:rsidRDefault="00956B0C" w:rsidP="001C71C2">
      <w:pPr>
        <w:rPr>
          <w:rFonts w:cs="Times New Roman"/>
          <w:lang w:val="es-MX"/>
        </w:rPr>
      </w:pPr>
    </w:p>
    <w:p w14:paraId="0D2C2C3B" w14:textId="4984171A" w:rsidR="00607595" w:rsidRPr="00956B0C" w:rsidRDefault="00000000" w:rsidP="001C71C2">
      <w:pPr>
        <w:rPr>
          <w:rFonts w:eastAsiaTheme="minorEastAsia" w:cs="Times New Roman"/>
          <w:lang w:val="es-MX"/>
        </w:rPr>
      </w:pPr>
      <m:oMathPara>
        <m:oMath>
          <m:sSup>
            <m:sSupPr>
              <m:ctrlPr>
                <w:rPr>
                  <w:rFonts w:ascii="Cambria Math" w:hAnsi="Cambria Math" w:cs="Times New Roman"/>
                  <w:lang w:val="es-MX"/>
                </w:rPr>
              </m:ctrlPr>
            </m:sSupPr>
            <m:e>
              <m:r>
                <w:rPr>
                  <w:rFonts w:ascii="Cambria Math" w:hAnsi="Cambria Math" w:cs="Times New Roman"/>
                  <w:lang w:val="es-MX"/>
                </w:rPr>
                <m:t>B</m:t>
              </m:r>
            </m:e>
            <m:sup>
              <m:r>
                <m:rPr>
                  <m:sty m:val="p"/>
                </m:rPr>
                <w:rPr>
                  <w:rFonts w:ascii="Cambria Math" w:hAnsi="Cambria Math" w:cs="Times New Roman"/>
                  <w:lang w:val="es-MX"/>
                </w:rPr>
                <m:t>'</m:t>
              </m:r>
            </m:sup>
          </m:sSup>
          <m:r>
            <w:rPr>
              <w:rFonts w:ascii="Cambria Math" w:hAnsi="Cambria Math" w:cs="Times New Roman"/>
              <w:lang w:val="es-MX"/>
            </w:rPr>
            <m:t>(E)=</m:t>
          </m:r>
          <m:sSup>
            <m:sSupPr>
              <m:ctrlPr>
                <w:rPr>
                  <w:rFonts w:ascii="Cambria Math" w:hAnsi="Cambria Math" w:cs="Times New Roman"/>
                  <w:lang w:val="es-MX"/>
                </w:rPr>
              </m:ctrlPr>
            </m:sSupPr>
            <m:e>
              <m:r>
                <w:rPr>
                  <w:rFonts w:ascii="Cambria Math" w:hAnsi="Cambria Math" w:cs="Times New Roman"/>
                  <w:lang w:val="es-MX"/>
                </w:rPr>
                <m:t>D</m:t>
              </m:r>
            </m:e>
            <m:sup>
              <m:r>
                <m:rPr>
                  <m:sty m:val="p"/>
                </m:rPr>
                <w:rPr>
                  <w:rFonts w:ascii="Cambria Math" w:hAnsi="Cambria Math" w:cs="Times New Roman"/>
                  <w:lang w:val="es-MX"/>
                </w:rPr>
                <m:t>'</m:t>
              </m:r>
            </m:sup>
          </m:sSup>
          <m:r>
            <w:rPr>
              <w:rFonts w:ascii="Cambria Math" w:hAnsi="Cambria Math" w:cs="Times New Roman"/>
              <w:lang w:val="es-MX"/>
            </w:rPr>
            <m:t>(E)</m:t>
          </m:r>
        </m:oMath>
      </m:oMathPara>
    </w:p>
    <w:p w14:paraId="25B53006" w14:textId="77777777" w:rsidR="00956B0C" w:rsidRPr="00CB1BCD" w:rsidRDefault="00956B0C" w:rsidP="001C71C2">
      <w:pPr>
        <w:rPr>
          <w:rFonts w:cs="Times New Roman"/>
          <w:lang w:val="es-MX"/>
        </w:rPr>
      </w:pPr>
    </w:p>
    <w:p w14:paraId="72A99BA9" w14:textId="60246369" w:rsidR="00607595" w:rsidRDefault="00607595" w:rsidP="001C71C2">
      <w:pPr>
        <w:rPr>
          <w:rFonts w:cs="Times New Roman"/>
          <w:lang w:val="es-MX"/>
        </w:rPr>
      </w:pPr>
      <w:r w:rsidRPr="00CB1BCD">
        <w:rPr>
          <w:rFonts w:cs="Times New Roman"/>
          <w:lang w:val="es-MX"/>
        </w:rPr>
        <w:t xml:space="preserve">De esta condición se deriva que el impuesto pigouviano </w:t>
      </w:r>
      <w:r w:rsidR="002A02FA" w:rsidRPr="00CB1BCD">
        <w:rPr>
          <w:rFonts w:cs="Times New Roman"/>
          <w:lang w:val="es-MX"/>
        </w:rPr>
        <w:t xml:space="preserve">por tonelada emitida </w:t>
      </w:r>
      <w:r w:rsidRPr="00CB1BCD">
        <w:rPr>
          <w:rFonts w:cs="Times New Roman"/>
          <w:lang w:val="es-MX"/>
        </w:rPr>
        <w:t>debe aproximarse al daño marginal generado por una tonelada adicional de CO₂</w:t>
      </w:r>
      <w:r w:rsidR="002A02FA" w:rsidRPr="00CB1BCD">
        <w:rPr>
          <w:rFonts w:cs="Times New Roman"/>
          <w:lang w:val="es-MX"/>
        </w:rPr>
        <w:t xml:space="preserve"> en el nivel eficiente de emisiones</w:t>
      </w:r>
      <w:r w:rsidRPr="00CB1BCD">
        <w:rPr>
          <w:rFonts w:cs="Times New Roman"/>
          <w:lang w:val="es-MX"/>
        </w:rPr>
        <w:t>:</w:t>
      </w:r>
    </w:p>
    <w:p w14:paraId="25792CF2" w14:textId="77777777" w:rsidR="00956B0C" w:rsidRPr="00CB1BCD" w:rsidRDefault="00956B0C" w:rsidP="001C71C2">
      <w:pPr>
        <w:rPr>
          <w:rFonts w:cs="Times New Roman"/>
          <w:lang w:val="es-MX"/>
        </w:rPr>
      </w:pPr>
    </w:p>
    <w:p w14:paraId="6FC5A67E" w14:textId="6B772153" w:rsidR="00607595" w:rsidRPr="00956B0C" w:rsidRDefault="00000000" w:rsidP="001C71C2">
      <w:pPr>
        <w:rPr>
          <w:rFonts w:eastAsiaTheme="minorEastAsia" w:cs="Times New Roman"/>
          <w:lang w:val="es-MX"/>
        </w:rPr>
      </w:pPr>
      <m:oMathPara>
        <m:oMath>
          <m:sSup>
            <m:sSupPr>
              <m:ctrlPr>
                <w:rPr>
                  <w:rFonts w:ascii="Cambria Math" w:hAnsi="Cambria Math" w:cs="Times New Roman"/>
                  <w:lang w:val="es-MX"/>
                </w:rPr>
              </m:ctrlPr>
            </m:sSupPr>
            <m:e>
              <m:r>
                <w:rPr>
                  <w:rFonts w:ascii="Cambria Math" w:hAnsi="Cambria Math" w:cs="Times New Roman"/>
                  <w:lang w:val="es-MX"/>
                </w:rPr>
                <m:t>τ</m:t>
              </m:r>
            </m:e>
            <m:sup>
              <m:r>
                <w:rPr>
                  <w:rFonts w:ascii="Cambria Math" w:hAnsi="Cambria Math" w:cs="Times New Roman"/>
                  <w:lang w:val="es-MX"/>
                </w:rPr>
                <m:t>P</m:t>
              </m:r>
            </m:sup>
          </m:sSup>
          <m:r>
            <w:rPr>
              <w:rFonts w:ascii="Cambria Math" w:hAnsi="Cambria Math" w:cs="Times New Roman"/>
              <w:lang w:val="es-MX"/>
            </w:rPr>
            <m:t>=</m:t>
          </m:r>
          <m:sSup>
            <m:sSupPr>
              <m:ctrlPr>
                <w:rPr>
                  <w:rFonts w:ascii="Cambria Math" w:hAnsi="Cambria Math" w:cs="Times New Roman"/>
                  <w:lang w:val="es-MX"/>
                </w:rPr>
              </m:ctrlPr>
            </m:sSupPr>
            <m:e>
              <m:r>
                <w:rPr>
                  <w:rFonts w:ascii="Cambria Math" w:hAnsi="Cambria Math" w:cs="Times New Roman"/>
                  <w:lang w:val="es-MX"/>
                </w:rPr>
                <m:t>D</m:t>
              </m:r>
            </m:e>
            <m:sup>
              <m:r>
                <m:rPr>
                  <m:sty m:val="p"/>
                </m:rPr>
                <w:rPr>
                  <w:rFonts w:ascii="Cambria Math" w:hAnsi="Cambria Math" w:cs="Times New Roman"/>
                  <w:lang w:val="es-MX"/>
                </w:rPr>
                <m:t>'</m:t>
              </m:r>
            </m:sup>
          </m:sSup>
          <m:r>
            <w:rPr>
              <w:rFonts w:ascii="Cambria Math" w:hAnsi="Cambria Math" w:cs="Times New Roman"/>
              <w:lang w:val="es-MX"/>
            </w:rPr>
            <m:t>(</m:t>
          </m:r>
          <m:sSup>
            <m:sSupPr>
              <m:ctrlPr>
                <w:rPr>
                  <w:rFonts w:ascii="Cambria Math" w:hAnsi="Cambria Math" w:cs="Times New Roman"/>
                  <w:lang w:val="es-MX"/>
                </w:rPr>
              </m:ctrlPr>
            </m:sSupPr>
            <m:e>
              <m:r>
                <w:rPr>
                  <w:rFonts w:ascii="Cambria Math" w:hAnsi="Cambria Math" w:cs="Times New Roman"/>
                  <w:lang w:val="es-MX"/>
                </w:rPr>
                <m:t>E</m:t>
              </m:r>
            </m:e>
            <m:sup>
              <m:r>
                <w:rPr>
                  <w:rFonts w:ascii="Cambria Math" w:hAnsi="Cambria Math" w:cs="Times New Roman"/>
                  <w:lang w:val="es-MX"/>
                </w:rPr>
                <m:t>*</m:t>
              </m:r>
            </m:sup>
          </m:sSup>
          <m:r>
            <w:rPr>
              <w:rFonts w:ascii="Cambria Math" w:hAnsi="Cambria Math" w:cs="Times New Roman"/>
              <w:lang w:val="es-MX"/>
            </w:rPr>
            <m:t>)</m:t>
          </m:r>
        </m:oMath>
      </m:oMathPara>
    </w:p>
    <w:p w14:paraId="76A7CF91" w14:textId="77777777" w:rsidR="00956B0C" w:rsidRPr="00CB1BCD" w:rsidRDefault="00956B0C" w:rsidP="001C71C2">
      <w:pPr>
        <w:rPr>
          <w:rFonts w:cs="Times New Roman"/>
          <w:lang w:val="es-MX"/>
        </w:rPr>
      </w:pPr>
    </w:p>
    <w:p w14:paraId="0C91129B" w14:textId="47AEDD85" w:rsidR="00607595" w:rsidRDefault="00607595" w:rsidP="001C71C2">
      <w:pPr>
        <w:rPr>
          <w:rFonts w:cs="Times New Roman"/>
          <w:lang w:val="es-MX"/>
        </w:rPr>
      </w:pPr>
      <w:r w:rsidRPr="00CB1BCD">
        <w:rPr>
          <w:rFonts w:cs="Times New Roman"/>
          <w:lang w:val="es-MX"/>
        </w:rPr>
        <w:t xml:space="preserve">Este planteamiento es consistente con </w:t>
      </w:r>
      <w:r w:rsidR="001C798D" w:rsidRPr="00CB1BCD">
        <w:rPr>
          <w:rFonts w:cs="Times New Roman"/>
          <w:lang w:val="es-MX"/>
        </w:rPr>
        <w:fldChar w:fldCharType="begin" w:fldLock="1"/>
      </w:r>
      <w:r w:rsidR="00AB0E2C" w:rsidRPr="00CB1BCD">
        <w:rPr>
          <w:rFonts w:cs="Times New Roman"/>
          <w:lang w:val="es-MX"/>
        </w:rPr>
        <w:instrText>ADDIN CSL_CITATION {"citationItems":[{"id":"ITEM-1","itemData":{"author":[{"dropping-particle":"","family":"Metcalf","given":"Gilbert E.","non-dropping-particle":"","parse-names":false,"suffix":""}],"container-title":"Review of Environmental Economics and Policy","id":"ITEM-1","issued":{"date-parts":[["2009"]]},"title":"Designing A Carbon Tax to Reduce U.S. Greenhouse Gas Emissions","type":"article-journal"},"uris":["http://www.mendeley.com/documents/?uuid=e8b7d12b-2c36-49ff-abec-74badc86e079"]}],"mendeley":{"formattedCitation":"(Metcalf, 2009)","manualFormatting":"Metcalf (2009)","plainTextFormattedCitation":"(Metcalf, 2009)","previouslyFormattedCitation":"(Metcalf, 2009)"},"properties":{"noteIndex":0},"schema":"https://github.com/citation-style-language/schema/raw/master/csl-citation.json"}</w:instrText>
      </w:r>
      <w:r w:rsidR="001C798D" w:rsidRPr="00CB1BCD">
        <w:rPr>
          <w:rFonts w:cs="Times New Roman"/>
          <w:lang w:val="es-MX"/>
        </w:rPr>
        <w:fldChar w:fldCharType="separate"/>
      </w:r>
      <w:r w:rsidR="001C798D" w:rsidRPr="00CB1BCD">
        <w:rPr>
          <w:rFonts w:cs="Times New Roman"/>
          <w:noProof/>
          <w:lang w:val="es-MX"/>
        </w:rPr>
        <w:t>Metcalf (2009)</w:t>
      </w:r>
      <w:r w:rsidR="001C798D" w:rsidRPr="00CB1BCD">
        <w:rPr>
          <w:rFonts w:cs="Times New Roman"/>
          <w:lang w:val="es-MX"/>
        </w:rPr>
        <w:fldChar w:fldCharType="end"/>
      </w:r>
      <w:r w:rsidRPr="00CB1BCD">
        <w:rPr>
          <w:rFonts w:cs="Times New Roman"/>
          <w:lang w:val="es-MX"/>
        </w:rPr>
        <w:t xml:space="preserve">, quien señala que el diseño de un impuesto al carbono debe partir del daño marginal social de las emisiones de gases de efecto invernadero, expresado en unidades monetarias por tonelada de CO₂ equivalente. No obstante, el mismo autor advierte que las estimaciones del daño marginal climático presentan variaciones importantes, </w:t>
      </w:r>
      <w:r w:rsidR="002A02FA" w:rsidRPr="00CB1BCD">
        <w:rPr>
          <w:rFonts w:cs="Times New Roman"/>
          <w:lang w:val="es-MX"/>
        </w:rPr>
        <w:t xml:space="preserve">asociadas a la tasa de descuento, el horizonte temporal, los daños considerados y los supuestos distributivos, </w:t>
      </w:r>
      <w:r w:rsidRPr="00CB1BCD">
        <w:rPr>
          <w:rFonts w:cs="Times New Roman"/>
          <w:lang w:val="es-MX"/>
        </w:rPr>
        <w:t>por lo que el precio óptimo del carbono no puede reducirse a un único valor universalmente aceptado.</w:t>
      </w:r>
    </w:p>
    <w:p w14:paraId="20AC71A3" w14:textId="77777777" w:rsidR="00956B0C" w:rsidRPr="00CB1BCD" w:rsidRDefault="00956B0C" w:rsidP="001C71C2">
      <w:pPr>
        <w:rPr>
          <w:rFonts w:cs="Times New Roman"/>
          <w:lang w:val="es-MX"/>
        </w:rPr>
      </w:pPr>
    </w:p>
    <w:p w14:paraId="34838E44" w14:textId="77777777" w:rsidR="00607595" w:rsidRPr="00CB1BCD" w:rsidRDefault="00607595" w:rsidP="001C71C2">
      <w:pPr>
        <w:rPr>
          <w:rFonts w:cs="Times New Roman"/>
          <w:lang w:val="es-MX"/>
        </w:rPr>
      </w:pPr>
      <w:r w:rsidRPr="00CB1BCD">
        <w:rPr>
          <w:rFonts w:cs="Times New Roman"/>
          <w:lang w:val="es-MX"/>
        </w:rPr>
        <w:t>A partir de la lógica pigouviana se formuló la Curva de Laffer ambiental. La recaudación derivada del precio al carbono se definió como:</w:t>
      </w:r>
    </w:p>
    <w:p w14:paraId="35F584E5" w14:textId="1E667F74" w:rsidR="00607595" w:rsidRPr="00956B0C" w:rsidRDefault="00607595" w:rsidP="001C71C2">
      <w:pPr>
        <w:rPr>
          <w:rFonts w:eastAsiaTheme="minorEastAsia" w:cs="Times New Roman"/>
          <w:lang w:val="es-MX"/>
        </w:rPr>
      </w:pPr>
      <m:oMathPara>
        <m:oMath>
          <m:r>
            <w:rPr>
              <w:rFonts w:ascii="Cambria Math" w:hAnsi="Cambria Math" w:cs="Times New Roman"/>
              <w:lang w:val="es-MX"/>
            </w:rPr>
            <m:t>R(τ)=τE(τ)</m:t>
          </m:r>
        </m:oMath>
      </m:oMathPara>
    </w:p>
    <w:p w14:paraId="4091ACD6" w14:textId="77777777" w:rsidR="00956B0C" w:rsidRPr="00CB1BCD" w:rsidRDefault="00956B0C" w:rsidP="001C71C2">
      <w:pPr>
        <w:rPr>
          <w:rFonts w:cs="Times New Roman"/>
          <w:lang w:val="es-MX"/>
        </w:rPr>
      </w:pPr>
    </w:p>
    <w:p w14:paraId="26F815E4" w14:textId="35CCF158" w:rsidR="00607595" w:rsidRDefault="00607595" w:rsidP="001C71C2">
      <w:pPr>
        <w:rPr>
          <w:rFonts w:cs="Times New Roman"/>
          <w:lang w:val="es-MX"/>
        </w:rPr>
      </w:pPr>
      <w:r w:rsidRPr="00CB1BCD">
        <w:rPr>
          <w:rFonts w:cs="Times New Roman"/>
          <w:lang w:val="es-MX"/>
        </w:rPr>
        <w:t xml:space="preserve">donde </w:t>
      </w:r>
      <m:oMath>
        <m:r>
          <w:rPr>
            <w:rFonts w:ascii="Cambria Math" w:hAnsi="Cambria Math" w:cs="Times New Roman"/>
            <w:lang w:val="es-MX"/>
          </w:rPr>
          <m:t>R(τ)</m:t>
        </m:r>
      </m:oMath>
      <w:r w:rsidR="00790515" w:rsidRPr="00CB1BCD">
        <w:rPr>
          <w:rFonts w:eastAsiaTheme="minorEastAsia" w:cs="Times New Roman"/>
          <w:lang w:val="es-MX"/>
        </w:rPr>
        <w:t xml:space="preserve"> </w:t>
      </w:r>
      <w:r w:rsidRPr="00CB1BCD">
        <w:rPr>
          <w:rFonts w:cs="Times New Roman"/>
          <w:lang w:val="es-MX"/>
        </w:rPr>
        <w:t xml:space="preserve">representa la recaudación potencial, </w:t>
      </w:r>
      <m:oMath>
        <m:r>
          <w:rPr>
            <w:rFonts w:ascii="Cambria Math" w:hAnsi="Cambria Math" w:cs="Times New Roman"/>
            <w:lang w:val="es-MX"/>
          </w:rPr>
          <m:t>τ</m:t>
        </m:r>
      </m:oMath>
      <w:r w:rsidR="00790515" w:rsidRPr="00CB1BCD">
        <w:rPr>
          <w:rFonts w:eastAsiaTheme="minorEastAsia" w:cs="Times New Roman"/>
          <w:lang w:val="es-MX"/>
        </w:rPr>
        <w:t xml:space="preserve"> </w:t>
      </w:r>
      <w:r w:rsidRPr="00CB1BCD">
        <w:rPr>
          <w:rFonts w:cs="Times New Roman"/>
          <w:lang w:val="es-MX"/>
        </w:rPr>
        <w:t xml:space="preserve">el precio del carbono y </w:t>
      </w:r>
      <m:oMath>
        <m:r>
          <w:rPr>
            <w:rFonts w:ascii="Cambria Math" w:hAnsi="Cambria Math" w:cs="Times New Roman"/>
            <w:lang w:val="es-MX"/>
          </w:rPr>
          <m:t>E(τ)</m:t>
        </m:r>
      </m:oMath>
      <w:r w:rsidR="00790515" w:rsidRPr="00CB1BCD">
        <w:rPr>
          <w:rFonts w:eastAsiaTheme="minorEastAsia" w:cs="Times New Roman"/>
          <w:lang w:val="es-MX"/>
        </w:rPr>
        <w:t xml:space="preserve"> </w:t>
      </w:r>
      <w:r w:rsidRPr="00CB1BCD">
        <w:rPr>
          <w:rFonts w:cs="Times New Roman"/>
          <w:lang w:val="es-MX"/>
        </w:rPr>
        <w:t>la base contaminante gravada. En un impuesto ambiental, la base gravable corresponde al flujo de emisiones</w:t>
      </w:r>
      <w:r w:rsidR="00A141D3" w:rsidRPr="00CB1BCD">
        <w:rPr>
          <w:rFonts w:cs="Times New Roman"/>
          <w:lang w:val="es-MX"/>
        </w:rPr>
        <w:t>.</w:t>
      </w:r>
      <w:r w:rsidRPr="00CB1BCD">
        <w:rPr>
          <w:rFonts w:cs="Times New Roman"/>
          <w:lang w:val="es-MX"/>
        </w:rPr>
        <w:t xml:space="preserve"> </w:t>
      </w:r>
      <w:r w:rsidR="00A141D3" w:rsidRPr="00CB1BCD">
        <w:rPr>
          <w:rFonts w:cs="Times New Roman"/>
          <w:lang w:val="es-MX"/>
        </w:rPr>
        <w:t>P</w:t>
      </w:r>
      <w:r w:rsidRPr="00CB1BCD">
        <w:rPr>
          <w:rFonts w:cs="Times New Roman"/>
          <w:lang w:val="es-MX"/>
        </w:rPr>
        <w:t xml:space="preserve">or ello, si el impuesto opera como incentivo correctivo, </w:t>
      </w:r>
      <w:r w:rsidR="00A141D3" w:rsidRPr="00CB1BCD">
        <w:rPr>
          <w:rFonts w:cs="Times New Roman"/>
          <w:lang w:val="es-MX"/>
        </w:rPr>
        <w:t>el modelo asume</w:t>
      </w:r>
      <w:r w:rsidRPr="00CB1BCD">
        <w:rPr>
          <w:rFonts w:cs="Times New Roman"/>
          <w:lang w:val="es-MX"/>
        </w:rPr>
        <w:t xml:space="preserve"> que:</w:t>
      </w:r>
    </w:p>
    <w:p w14:paraId="351D6E8C" w14:textId="77777777" w:rsidR="00956B0C" w:rsidRPr="00CB1BCD" w:rsidRDefault="00956B0C" w:rsidP="001C71C2">
      <w:pPr>
        <w:rPr>
          <w:rFonts w:cs="Times New Roman"/>
          <w:lang w:val="es-MX"/>
        </w:rPr>
      </w:pPr>
    </w:p>
    <w:p w14:paraId="166C975C" w14:textId="769F34EA" w:rsidR="00607595" w:rsidRPr="00956B0C" w:rsidRDefault="00000000" w:rsidP="001C71C2">
      <w:pPr>
        <w:rPr>
          <w:rFonts w:eastAsiaTheme="minorEastAsia" w:cs="Times New Roman"/>
          <w:lang w:val="es-MX"/>
        </w:rPr>
      </w:pPr>
      <m:oMathPara>
        <m:oMath>
          <m:sSup>
            <m:sSupPr>
              <m:ctrlPr>
                <w:rPr>
                  <w:rFonts w:ascii="Cambria Math" w:hAnsi="Cambria Math" w:cs="Times New Roman"/>
                  <w:lang w:val="es-MX"/>
                </w:rPr>
              </m:ctrlPr>
            </m:sSupPr>
            <m:e>
              <m:r>
                <w:rPr>
                  <w:rFonts w:ascii="Cambria Math" w:hAnsi="Cambria Math" w:cs="Times New Roman"/>
                  <w:lang w:val="es-MX"/>
                </w:rPr>
                <m:t>E</m:t>
              </m:r>
            </m:e>
            <m:sup>
              <m:r>
                <m:rPr>
                  <m:sty m:val="p"/>
                </m:rPr>
                <w:rPr>
                  <w:rFonts w:ascii="Cambria Math" w:hAnsi="Cambria Math" w:cs="Times New Roman"/>
                  <w:lang w:val="es-MX"/>
                </w:rPr>
                <m:t>'</m:t>
              </m:r>
            </m:sup>
          </m:sSup>
          <m:r>
            <w:rPr>
              <w:rFonts w:ascii="Cambria Math" w:hAnsi="Cambria Math" w:cs="Times New Roman"/>
              <w:lang w:val="es-MX"/>
            </w:rPr>
            <m:t>(τ)&lt;0</m:t>
          </m:r>
        </m:oMath>
      </m:oMathPara>
    </w:p>
    <w:p w14:paraId="7A7A9ADF" w14:textId="77777777" w:rsidR="00956B0C" w:rsidRPr="00CB1BCD" w:rsidRDefault="00956B0C" w:rsidP="001C71C2">
      <w:pPr>
        <w:rPr>
          <w:rFonts w:cs="Times New Roman"/>
          <w:lang w:val="es-MX"/>
        </w:rPr>
      </w:pPr>
    </w:p>
    <w:p w14:paraId="5EF75B7E" w14:textId="4BADACC5" w:rsidR="00607595" w:rsidRDefault="00607595" w:rsidP="001C71C2">
      <w:pPr>
        <w:rPr>
          <w:rFonts w:cs="Times New Roman"/>
          <w:lang w:val="es-MX"/>
        </w:rPr>
      </w:pPr>
      <w:r w:rsidRPr="00CB1BCD">
        <w:rPr>
          <w:rFonts w:cs="Times New Roman"/>
          <w:lang w:val="es-MX"/>
        </w:rPr>
        <w:lastRenderedPageBreak/>
        <w:t>El máximo recaudatorio se obtiene al derivar la función de recaudación respecto al precio del carbono</w:t>
      </w:r>
      <w:r w:rsidR="00724090" w:rsidRPr="00CB1BCD">
        <w:rPr>
          <w:rFonts w:cs="Times New Roman"/>
          <w:lang w:val="es-MX"/>
        </w:rPr>
        <w:t>. La condición de primer orden es</w:t>
      </w:r>
      <w:r w:rsidRPr="00CB1BCD">
        <w:rPr>
          <w:rFonts w:cs="Times New Roman"/>
          <w:lang w:val="es-MX"/>
        </w:rPr>
        <w:t>:</w:t>
      </w:r>
    </w:p>
    <w:p w14:paraId="71532989" w14:textId="77777777" w:rsidR="00956B0C" w:rsidRPr="00CB1BCD" w:rsidRDefault="00956B0C" w:rsidP="001C71C2">
      <w:pPr>
        <w:rPr>
          <w:rFonts w:cs="Times New Roman"/>
          <w:lang w:val="es-MX"/>
        </w:rPr>
      </w:pPr>
    </w:p>
    <w:p w14:paraId="527DDE05" w14:textId="4640A31D" w:rsidR="00607595" w:rsidRPr="00956B0C" w:rsidRDefault="00000000" w:rsidP="001C71C2">
      <w:pPr>
        <w:rPr>
          <w:rFonts w:eastAsiaTheme="minorEastAsia" w:cs="Times New Roman"/>
          <w:lang w:val="es-MX"/>
        </w:rPr>
      </w:pPr>
      <m:oMathPara>
        <m:oMath>
          <m:f>
            <m:fPr>
              <m:ctrlPr>
                <w:rPr>
                  <w:rFonts w:ascii="Cambria Math" w:hAnsi="Cambria Math" w:cs="Times New Roman"/>
                  <w:lang w:val="es-MX"/>
                </w:rPr>
              </m:ctrlPr>
            </m:fPr>
            <m:num>
              <m:r>
                <w:rPr>
                  <w:rFonts w:ascii="Cambria Math" w:hAnsi="Cambria Math" w:cs="Times New Roman"/>
                  <w:lang w:val="es-MX"/>
                </w:rPr>
                <m:t>dR</m:t>
              </m:r>
            </m:num>
            <m:den>
              <m:r>
                <w:rPr>
                  <w:rFonts w:ascii="Cambria Math" w:hAnsi="Cambria Math" w:cs="Times New Roman"/>
                  <w:lang w:val="es-MX"/>
                </w:rPr>
                <m:t>dτ</m:t>
              </m:r>
            </m:den>
          </m:f>
          <m:r>
            <w:rPr>
              <w:rFonts w:ascii="Cambria Math" w:hAnsi="Cambria Math" w:cs="Times New Roman"/>
              <w:lang w:val="es-MX"/>
            </w:rPr>
            <m:t>=E</m:t>
          </m:r>
          <m:d>
            <m:dPr>
              <m:ctrlPr>
                <w:rPr>
                  <w:rFonts w:ascii="Cambria Math" w:hAnsi="Cambria Math" w:cs="Times New Roman"/>
                  <w:i/>
                  <w:lang w:val="es-MX"/>
                </w:rPr>
              </m:ctrlPr>
            </m:dPr>
            <m:e>
              <m:r>
                <w:rPr>
                  <w:rFonts w:ascii="Cambria Math" w:hAnsi="Cambria Math" w:cs="Times New Roman"/>
                  <w:lang w:val="es-MX"/>
                </w:rPr>
                <m:t>τ</m:t>
              </m:r>
            </m:e>
          </m:d>
          <m:r>
            <w:rPr>
              <w:rFonts w:ascii="Cambria Math" w:hAnsi="Cambria Math" w:cs="Times New Roman"/>
              <w:lang w:val="es-MX"/>
            </w:rPr>
            <m:t>+τ</m:t>
          </m:r>
          <m:sSup>
            <m:sSupPr>
              <m:ctrlPr>
                <w:rPr>
                  <w:rFonts w:ascii="Cambria Math" w:hAnsi="Cambria Math" w:cs="Times New Roman"/>
                  <w:lang w:val="es-MX"/>
                </w:rPr>
              </m:ctrlPr>
            </m:sSupPr>
            <m:e>
              <m:r>
                <w:rPr>
                  <w:rFonts w:ascii="Cambria Math" w:hAnsi="Cambria Math" w:cs="Times New Roman"/>
                  <w:lang w:val="es-MX"/>
                </w:rPr>
                <m:t>E</m:t>
              </m:r>
            </m:e>
            <m:sup>
              <m:r>
                <m:rPr>
                  <m:sty m:val="p"/>
                </m:rPr>
                <w:rPr>
                  <w:rFonts w:ascii="Cambria Math" w:hAnsi="Cambria Math" w:cs="Times New Roman"/>
                  <w:lang w:val="es-MX"/>
                </w:rPr>
                <m:t>'</m:t>
              </m:r>
            </m:sup>
          </m:sSup>
          <m:d>
            <m:dPr>
              <m:ctrlPr>
                <w:rPr>
                  <w:rFonts w:ascii="Cambria Math" w:hAnsi="Cambria Math" w:cs="Times New Roman"/>
                  <w:i/>
                  <w:lang w:val="es-MX"/>
                </w:rPr>
              </m:ctrlPr>
            </m:dPr>
            <m:e>
              <m:r>
                <w:rPr>
                  <w:rFonts w:ascii="Cambria Math" w:hAnsi="Cambria Math" w:cs="Times New Roman"/>
                  <w:lang w:val="es-MX"/>
                </w:rPr>
                <m:t>τ</m:t>
              </m:r>
            </m:e>
          </m:d>
          <m:r>
            <w:rPr>
              <w:rFonts w:ascii="Cambria Math" w:eastAsiaTheme="minorEastAsia" w:hAnsi="Cambria Math" w:cs="Times New Roman"/>
              <w:lang w:val="es-MX"/>
            </w:rPr>
            <m:t>=0</m:t>
          </m:r>
        </m:oMath>
      </m:oMathPara>
    </w:p>
    <w:p w14:paraId="67C0B534" w14:textId="77777777" w:rsidR="00956B0C" w:rsidRPr="00CB1BCD" w:rsidRDefault="00956B0C" w:rsidP="001C71C2">
      <w:pPr>
        <w:rPr>
          <w:rFonts w:cs="Times New Roman"/>
          <w:lang w:val="es-MX"/>
        </w:rPr>
      </w:pPr>
    </w:p>
    <w:p w14:paraId="6A88FD2E" w14:textId="77777777" w:rsidR="00607595" w:rsidRDefault="00607595" w:rsidP="001C71C2">
      <w:pPr>
        <w:rPr>
          <w:rFonts w:cs="Times New Roman"/>
          <w:lang w:val="es-MX"/>
        </w:rPr>
      </w:pPr>
      <w:r w:rsidRPr="00CB1BCD">
        <w:rPr>
          <w:rFonts w:cs="Times New Roman"/>
          <w:lang w:val="es-MX"/>
        </w:rPr>
        <w:t>lo cual equivale a:</w:t>
      </w:r>
    </w:p>
    <w:p w14:paraId="4C3F8274" w14:textId="77777777" w:rsidR="00956B0C" w:rsidRPr="00CB1BCD" w:rsidRDefault="00956B0C" w:rsidP="001C71C2">
      <w:pPr>
        <w:rPr>
          <w:rFonts w:cs="Times New Roman"/>
          <w:lang w:val="es-MX"/>
        </w:rPr>
      </w:pPr>
    </w:p>
    <w:p w14:paraId="2465C872" w14:textId="400A3DEE" w:rsidR="00607595" w:rsidRPr="00956B0C" w:rsidRDefault="00000000" w:rsidP="001C71C2">
      <w:pPr>
        <w:rPr>
          <w:rFonts w:eastAsiaTheme="minorEastAsia" w:cs="Times New Roman"/>
          <w:lang w:val="es-MX"/>
        </w:rPr>
      </w:pPr>
      <m:oMathPara>
        <m:oMath>
          <m:sSub>
            <m:sSubPr>
              <m:ctrlPr>
                <w:rPr>
                  <w:rFonts w:ascii="Cambria Math" w:hAnsi="Cambria Math" w:cs="Times New Roman"/>
                  <w:lang w:val="es-MX"/>
                </w:rPr>
              </m:ctrlPr>
            </m:sSubPr>
            <m:e>
              <m:r>
                <w:rPr>
                  <w:rFonts w:ascii="Cambria Math" w:hAnsi="Cambria Math" w:cs="Times New Roman"/>
                  <w:lang w:val="es-MX"/>
                </w:rPr>
                <m:t>ε</m:t>
              </m:r>
            </m:e>
            <m:sub>
              <m:r>
                <w:rPr>
                  <w:rFonts w:ascii="Cambria Math" w:hAnsi="Cambria Math" w:cs="Times New Roman"/>
                  <w:lang w:val="es-MX"/>
                </w:rPr>
                <m:t>E,τ</m:t>
              </m:r>
            </m:sub>
          </m:sSub>
          <m:r>
            <w:rPr>
              <w:rFonts w:ascii="Cambria Math" w:hAnsi="Cambria Math" w:cs="Times New Roman"/>
              <w:lang w:val="es-MX"/>
            </w:rPr>
            <m:t>=-1</m:t>
          </m:r>
        </m:oMath>
      </m:oMathPara>
    </w:p>
    <w:p w14:paraId="327EBC12" w14:textId="77777777" w:rsidR="00956B0C" w:rsidRPr="00CB1BCD" w:rsidRDefault="00956B0C" w:rsidP="001C71C2">
      <w:pPr>
        <w:rPr>
          <w:rFonts w:cs="Times New Roman"/>
          <w:lang w:val="es-MX"/>
        </w:rPr>
      </w:pPr>
    </w:p>
    <w:p w14:paraId="6FC7851E" w14:textId="17C0C17D" w:rsidR="00607595" w:rsidRDefault="00607595" w:rsidP="001C71C2">
      <w:pPr>
        <w:rPr>
          <w:rFonts w:cs="Times New Roman"/>
          <w:lang w:val="es-MX"/>
        </w:rPr>
      </w:pPr>
      <w:r w:rsidRPr="00CB1BCD">
        <w:rPr>
          <w:rFonts w:cs="Times New Roman"/>
          <w:lang w:val="es-MX"/>
        </w:rPr>
        <w:t xml:space="preserve">Esta condición indica que la recaudación alcanza su máximo cuando la elasticidad de la base contaminante respecto al precio del carbono es igual a </w:t>
      </w:r>
      <m:oMath>
        <m:r>
          <w:rPr>
            <w:rFonts w:ascii="Cambria Math" w:hAnsi="Cambria Math" w:cs="Times New Roman"/>
            <w:lang w:val="es-MX"/>
          </w:rPr>
          <m:t>-1</m:t>
        </m:r>
      </m:oMath>
      <w:r w:rsidRPr="00CB1BCD">
        <w:rPr>
          <w:rFonts w:cs="Times New Roman"/>
          <w:lang w:val="es-MX"/>
        </w:rPr>
        <w:t xml:space="preserve">. En términos ambientales, dicho máximo no necesariamente coincide con el </w:t>
      </w:r>
      <w:r w:rsidR="00177111" w:rsidRPr="00CB1BCD">
        <w:rPr>
          <w:rFonts w:cs="Times New Roman"/>
          <w:lang w:val="es-MX"/>
        </w:rPr>
        <w:t>mayor bienestar</w:t>
      </w:r>
      <w:r w:rsidRPr="00CB1BCD">
        <w:rPr>
          <w:rFonts w:cs="Times New Roman"/>
          <w:lang w:val="es-MX"/>
        </w:rPr>
        <w:t xml:space="preserve"> </w:t>
      </w:r>
      <w:r w:rsidR="00177111" w:rsidRPr="00CB1BCD">
        <w:rPr>
          <w:rFonts w:cs="Times New Roman"/>
          <w:lang w:val="es-MX"/>
        </w:rPr>
        <w:t>parcial</w:t>
      </w:r>
      <w:r w:rsidRPr="00CB1BCD">
        <w:rPr>
          <w:rFonts w:cs="Times New Roman"/>
          <w:lang w:val="es-MX"/>
        </w:rPr>
        <w:t xml:space="preserve">, porque una disminución de la recaudación puede reflejar una reducción efectiva de emisiones. </w:t>
      </w:r>
      <w:r w:rsidR="00AB0E2C" w:rsidRPr="00CB1BCD">
        <w:rPr>
          <w:rFonts w:cs="Times New Roman"/>
          <w:lang w:val="es-MX"/>
        </w:rPr>
        <w:fldChar w:fldCharType="begin" w:fldLock="1"/>
      </w:r>
      <w:r w:rsidR="00550160" w:rsidRPr="00CB1BCD">
        <w:rPr>
          <w:rFonts w:cs="Times New Roman"/>
          <w:lang w:val="es-MX"/>
        </w:rPr>
        <w:instrText>ADDIN CSL_CITATION {"citationItems":[{"id":"ITEM-1","itemData":{"author":[{"dropping-particle":"","family":"Budolfson","given":"Mark","non-dropping-particle":"","parse-names":false,"suffix":""},{"dropping-particle":"","family":"Dennig","given":"Francis","non-dropping-particle":"","parse-names":false,"suffix":""},{"dropping-particle":"","family":"Errickson","given":"Frank","non-dropping-particle":"","parse-names":false,"suffix":""},{"dropping-particle":"","family":"Feindt","given":"Simon","non-dropping-particle":"","parse-names":false,"suffix":""},{"dropping-particle":"","family":"Ferranna","given":"Maddalena","non-dropping-particle":"","parse-names":false,"suffix":""},{"dropping-particle":"","family":"Fleurbaey","given":"Marc","non-dropping-particle":"","parse-names":false,"suffix":""},{"dropping-particle":"","family":"Klenert","given":"David","non-dropping-particle":"","parse-names":false,"suffix":""},{"dropping-particle":"","family":"Kornek","given":"Ulrike","non-dropping-particle":"","parse-names":false,"suffix":""},{"dropping-particle":"","family":"Kuruc","given":"Kevin","non-dropping-particle":"","parse-names":false,"suffix":""},{"dropping-particle":"","family":"Méjean","given":"Aurélie","non-dropping-particle":"","parse-names":false,"suffix":""}],"id":"ITEM-1","issue":"December","issued":{"date-parts":[["2021"]]},"title":"for Poverty , Inequality and Well-Being","type":"article-journal","volume":"11"},"uris":["http://www.mendeley.com/documents/?uuid=5162981a-267c-4a73-ae51-21f764a9a68e"]}],"mendeley":{"formattedCitation":"(Budolfson &lt;i&gt;et al.&lt;/i&gt;, 2021)","manualFormatting":"Budolfson et al. (2021)","plainTextFormattedCitation":"(Budolfson et al., 2021)","previouslyFormattedCitation":"(Budolfson &lt;i&gt;et al.&lt;/i&gt;, 2021)"},"properties":{"noteIndex":0},"schema":"https://github.com/citation-style-language/schema/raw/master/csl-citation.json"}</w:instrText>
      </w:r>
      <w:r w:rsidR="00AB0E2C" w:rsidRPr="00CB1BCD">
        <w:rPr>
          <w:rFonts w:cs="Times New Roman"/>
          <w:lang w:val="es-MX"/>
        </w:rPr>
        <w:fldChar w:fldCharType="separate"/>
      </w:r>
      <w:r w:rsidR="00AB0E2C" w:rsidRPr="00CB1BCD">
        <w:rPr>
          <w:rFonts w:cs="Times New Roman"/>
          <w:noProof/>
          <w:lang w:val="es-MX"/>
        </w:rPr>
        <w:t xml:space="preserve">Budolfson </w:t>
      </w:r>
      <w:r w:rsidR="00AB0E2C" w:rsidRPr="00CB1BCD">
        <w:rPr>
          <w:rFonts w:cs="Times New Roman"/>
          <w:i/>
          <w:noProof/>
          <w:lang w:val="es-MX"/>
        </w:rPr>
        <w:t>et al.</w:t>
      </w:r>
      <w:r w:rsidR="00AB0E2C" w:rsidRPr="00CB1BCD">
        <w:rPr>
          <w:rFonts w:cs="Times New Roman"/>
          <w:noProof/>
          <w:lang w:val="es-MX"/>
        </w:rPr>
        <w:t xml:space="preserve"> (2021)</w:t>
      </w:r>
      <w:r w:rsidR="00AB0E2C" w:rsidRPr="00CB1BCD">
        <w:rPr>
          <w:rFonts w:cs="Times New Roman"/>
          <w:lang w:val="es-MX"/>
        </w:rPr>
        <w:fldChar w:fldCharType="end"/>
      </w:r>
      <w:r w:rsidRPr="00CB1BCD">
        <w:rPr>
          <w:rFonts w:cs="Times New Roman"/>
          <w:lang w:val="es-MX"/>
        </w:rPr>
        <w:t xml:space="preserve"> desarrollan esta idea bajo el concepto de </w:t>
      </w:r>
      <w:r w:rsidRPr="00CB1BCD">
        <w:rPr>
          <w:rFonts w:cs="Times New Roman"/>
          <w:i/>
          <w:iCs/>
          <w:lang w:val="es-MX"/>
        </w:rPr>
        <w:t>carbon Laffer curve</w:t>
      </w:r>
      <w:r w:rsidRPr="00CB1BCD">
        <w:rPr>
          <w:rFonts w:cs="Times New Roman"/>
          <w:lang w:val="es-MX"/>
        </w:rPr>
        <w:t>, al mostrar que la recaudación aumenta inicialmente y después disminuye conforme la descarbonización reduce la base gravable.</w:t>
      </w:r>
    </w:p>
    <w:p w14:paraId="36449087" w14:textId="77777777" w:rsidR="00956B0C" w:rsidRPr="00CB1BCD" w:rsidRDefault="00956B0C" w:rsidP="001C71C2">
      <w:pPr>
        <w:rPr>
          <w:rFonts w:cs="Times New Roman"/>
          <w:lang w:val="es-MX"/>
        </w:rPr>
      </w:pPr>
    </w:p>
    <w:p w14:paraId="2D2F5F26" w14:textId="259E8DDF" w:rsidR="000D5A3D" w:rsidRPr="00CB1BCD" w:rsidRDefault="00A95E30" w:rsidP="001C71C2">
      <w:pPr>
        <w:pStyle w:val="Ttulo2"/>
        <w:spacing w:line="360" w:lineRule="auto"/>
      </w:pPr>
      <w:r w:rsidRPr="00CB1BCD">
        <w:rPr>
          <w:color w:val="auto"/>
        </w:rPr>
        <w:t>Calibración de la función de emisiones</w:t>
      </w:r>
    </w:p>
    <w:p w14:paraId="47E2B0B6" w14:textId="609CC42A" w:rsidR="00A95E30" w:rsidRDefault="00A95E30" w:rsidP="001C71C2">
      <w:pPr>
        <w:rPr>
          <w:rFonts w:cs="Times New Roman"/>
          <w:lang w:val="es-MX"/>
        </w:rPr>
      </w:pPr>
      <w:r w:rsidRPr="00CB1BCD">
        <w:rPr>
          <w:rFonts w:cs="Times New Roman"/>
          <w:lang w:val="es-MX"/>
        </w:rPr>
        <w:t>La función de emisiones se especificó como una forma reducida</w:t>
      </w:r>
      <w:r w:rsidR="00412F56" w:rsidRPr="00CB1BCD">
        <w:rPr>
          <w:rFonts w:cs="Times New Roman"/>
          <w:lang w:val="es-MX"/>
        </w:rPr>
        <w:t>,</w:t>
      </w:r>
      <w:r w:rsidRPr="00CB1BCD">
        <w:rPr>
          <w:rFonts w:cs="Times New Roman"/>
          <w:lang w:val="es-MX"/>
        </w:rPr>
        <w:t xml:space="preserve"> log-lineal </w:t>
      </w:r>
      <w:r w:rsidR="00412F56" w:rsidRPr="00CB1BCD">
        <w:rPr>
          <w:rFonts w:cs="Times New Roman"/>
          <w:lang w:val="es-MX"/>
        </w:rPr>
        <w:t xml:space="preserve">en el precio del carbono, </w:t>
      </w:r>
      <w:r w:rsidRPr="00CB1BCD">
        <w:rPr>
          <w:rFonts w:cs="Times New Roman"/>
          <w:lang w:val="es-MX"/>
        </w:rPr>
        <w:t xml:space="preserve">calibrada con el escenario de 75 USD/tCO₂ reportado para México por el Fondo Monetario Internacional. Esta forma funcional fue seleccionada porque garantiza emisiones positivas para cualquier nivel de precio, establece una relación decreciente entre </w:t>
      </w:r>
      <w:r w:rsidR="00412F56" w:rsidRPr="00CB1BCD">
        <w:rPr>
          <w:rFonts w:cs="Times New Roman"/>
          <w:lang w:val="es-MX"/>
        </w:rPr>
        <w:t xml:space="preserve">el </w:t>
      </w:r>
      <w:r w:rsidRPr="00CB1BCD">
        <w:rPr>
          <w:rFonts w:cs="Times New Roman"/>
          <w:lang w:val="es-MX"/>
        </w:rPr>
        <w:t xml:space="preserve">precio del carbono y </w:t>
      </w:r>
      <w:r w:rsidR="00412F56" w:rsidRPr="00CB1BCD">
        <w:rPr>
          <w:rFonts w:cs="Times New Roman"/>
          <w:lang w:val="es-MX"/>
        </w:rPr>
        <w:t xml:space="preserve">las </w:t>
      </w:r>
      <w:r w:rsidRPr="00CB1BCD">
        <w:rPr>
          <w:rFonts w:cs="Times New Roman"/>
          <w:lang w:val="es-MX"/>
        </w:rPr>
        <w:t>emisiones, permite reproducir el punto ancla de reducción de emisiones con un solo parámetro.</w:t>
      </w:r>
      <w:r w:rsidR="00412F56" w:rsidRPr="00CB1BCD">
        <w:rPr>
          <w:rFonts w:cs="Times New Roman"/>
          <w:lang w:val="es-MX"/>
        </w:rPr>
        <w:t xml:space="preserve"> Asimismo, esta especificación genera un máximo recaudatorio interno en la Curva de Laffer ambiental.</w:t>
      </w:r>
    </w:p>
    <w:p w14:paraId="06F17F11" w14:textId="77777777" w:rsidR="00956B0C" w:rsidRPr="00CB1BCD" w:rsidRDefault="00956B0C" w:rsidP="001C71C2">
      <w:pPr>
        <w:rPr>
          <w:rFonts w:cs="Times New Roman"/>
          <w:lang w:val="es-MX"/>
        </w:rPr>
      </w:pPr>
    </w:p>
    <w:p w14:paraId="5EA20D1B" w14:textId="77777777" w:rsidR="00A95E30" w:rsidRPr="00CB1BCD" w:rsidRDefault="00A95E30" w:rsidP="001C71C2">
      <w:pPr>
        <w:rPr>
          <w:rFonts w:cs="Times New Roman"/>
          <w:lang w:val="es-MX"/>
        </w:rPr>
      </w:pPr>
      <w:r w:rsidRPr="00CB1BCD">
        <w:rPr>
          <w:rFonts w:cs="Times New Roman"/>
          <w:lang w:val="es-MX"/>
        </w:rPr>
        <w:t>La función utilizada fue:</w:t>
      </w:r>
    </w:p>
    <w:p w14:paraId="09DDC098" w14:textId="03897A6E" w:rsidR="00A95E30" w:rsidRPr="00956B0C" w:rsidRDefault="00A95E30" w:rsidP="001C71C2">
      <w:pPr>
        <w:rPr>
          <w:rFonts w:eastAsiaTheme="minorEastAsia" w:cs="Times New Roman"/>
          <w:lang w:val="es-MX"/>
        </w:rPr>
      </w:pPr>
      <m:oMathPara>
        <m:oMath>
          <m:r>
            <w:rPr>
              <w:rFonts w:ascii="Cambria Math" w:hAnsi="Cambria Math" w:cs="Times New Roman"/>
              <w:lang w:val="es-MX"/>
            </w:rPr>
            <m:t>E(τ)=</m:t>
          </m:r>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0</m:t>
              </m:r>
            </m:sub>
          </m:sSub>
          <m:sSup>
            <m:sSupPr>
              <m:ctrlPr>
                <w:rPr>
                  <w:rFonts w:ascii="Cambria Math" w:hAnsi="Cambria Math" w:cs="Times New Roman"/>
                  <w:lang w:val="es-MX"/>
                </w:rPr>
              </m:ctrlPr>
            </m:sSupPr>
            <m:e>
              <m:r>
                <w:rPr>
                  <w:rFonts w:ascii="Cambria Math" w:hAnsi="Cambria Math" w:cs="Times New Roman"/>
                  <w:lang w:val="es-MX"/>
                </w:rPr>
                <m:t>e</m:t>
              </m:r>
            </m:e>
            <m:sup>
              <m:r>
                <w:rPr>
                  <w:rFonts w:ascii="Cambria Math" w:hAnsi="Cambria Math" w:cs="Times New Roman"/>
                  <w:lang w:val="es-MX"/>
                </w:rPr>
                <m:t>-kτ</m:t>
              </m:r>
            </m:sup>
          </m:sSup>
        </m:oMath>
      </m:oMathPara>
    </w:p>
    <w:p w14:paraId="306F891A" w14:textId="77777777" w:rsidR="00956B0C" w:rsidRPr="00CB1BCD" w:rsidRDefault="00956B0C" w:rsidP="001C71C2">
      <w:pPr>
        <w:rPr>
          <w:rFonts w:cs="Times New Roman"/>
          <w:lang w:val="es-MX"/>
        </w:rPr>
      </w:pPr>
    </w:p>
    <w:p w14:paraId="1B323D65" w14:textId="05714D09" w:rsidR="00A95E30" w:rsidRDefault="00A95E30" w:rsidP="001C71C2">
      <w:pPr>
        <w:rPr>
          <w:rFonts w:cs="Times New Roman"/>
          <w:lang w:val="es-MX"/>
        </w:rPr>
      </w:pPr>
      <w:r w:rsidRPr="00CB1BCD">
        <w:rPr>
          <w:rFonts w:cs="Times New Roman"/>
          <w:lang w:val="es-MX"/>
        </w:rPr>
        <w:t xml:space="preserve">donde </w:t>
      </w:r>
      <m:oMath>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0</m:t>
            </m:r>
          </m:sub>
        </m:sSub>
      </m:oMath>
      <w:r w:rsidRPr="00CB1BCD">
        <w:rPr>
          <w:rFonts w:eastAsiaTheme="minorEastAsia" w:cs="Times New Roman"/>
          <w:lang w:val="es-MX"/>
        </w:rPr>
        <w:t xml:space="preserve"> </w:t>
      </w:r>
      <w:r w:rsidRPr="00CB1BCD">
        <w:rPr>
          <w:rFonts w:cs="Times New Roman"/>
          <w:lang w:val="es-MX"/>
        </w:rPr>
        <w:t>representa las emisiones del escenario base</w:t>
      </w:r>
      <w:r w:rsidR="00A36322" w:rsidRPr="00CB1BCD">
        <w:rPr>
          <w:rFonts w:cs="Times New Roman"/>
          <w:lang w:val="es-MX"/>
        </w:rPr>
        <w:t>;</w:t>
      </w:r>
      <w:r w:rsidRPr="00CB1BCD">
        <w:rPr>
          <w:rFonts w:cs="Times New Roman"/>
          <w:lang w:val="es-MX"/>
        </w:rPr>
        <w:t xml:space="preserve"> </w:t>
      </w:r>
      <m:oMath>
        <m:r>
          <w:rPr>
            <w:rFonts w:ascii="Cambria Math" w:hAnsi="Cambria Math" w:cs="Times New Roman"/>
            <w:lang w:val="es-MX"/>
          </w:rPr>
          <m:t>k</m:t>
        </m:r>
      </m:oMath>
      <w:r w:rsidRPr="00CB1BCD">
        <w:rPr>
          <w:rFonts w:eastAsiaTheme="minorEastAsia" w:cs="Times New Roman"/>
          <w:lang w:val="es-MX"/>
        </w:rPr>
        <w:t xml:space="preserve"> </w:t>
      </w:r>
      <w:r w:rsidRPr="00CB1BCD">
        <w:rPr>
          <w:rFonts w:cs="Times New Roman"/>
          <w:lang w:val="es-MX"/>
        </w:rPr>
        <w:t>es el parámetro de respuesta de las emisiones ante el precio del carbono</w:t>
      </w:r>
      <w:r w:rsidR="00A36322" w:rsidRPr="00CB1BCD">
        <w:rPr>
          <w:rFonts w:cs="Times New Roman"/>
          <w:lang w:val="es-MX"/>
        </w:rPr>
        <w:t xml:space="preserve">; y </w:t>
      </w:r>
      <m:oMath>
        <m:r>
          <w:rPr>
            <w:rFonts w:ascii="Cambria Math" w:hAnsi="Cambria Math" w:cs="Times New Roman"/>
            <w:lang w:val="es-MX"/>
          </w:rPr>
          <m:t>τ</m:t>
        </m:r>
      </m:oMath>
      <w:r w:rsidR="00A36322" w:rsidRPr="00CB1BCD">
        <w:rPr>
          <w:rFonts w:eastAsiaTheme="minorEastAsia" w:cs="Times New Roman"/>
          <w:lang w:val="es-MX"/>
        </w:rPr>
        <w:t xml:space="preserve"> representa el precio al carbono</w:t>
      </w:r>
      <w:r w:rsidRPr="00CB1BCD">
        <w:rPr>
          <w:rFonts w:cs="Times New Roman"/>
          <w:lang w:val="es-MX"/>
        </w:rPr>
        <w:t xml:space="preserve">. Esta especificación equivale a suponer que el logaritmo </w:t>
      </w:r>
      <w:r w:rsidR="00A36322" w:rsidRPr="00CB1BCD">
        <w:rPr>
          <w:rFonts w:cs="Times New Roman"/>
          <w:lang w:val="es-MX"/>
        </w:rPr>
        <w:t xml:space="preserve">natural </w:t>
      </w:r>
      <w:r w:rsidRPr="00CB1BCD">
        <w:rPr>
          <w:rFonts w:cs="Times New Roman"/>
          <w:lang w:val="es-MX"/>
        </w:rPr>
        <w:t>de las emisiones disminuye linealmente conforme aumenta el precio del carbono:</w:t>
      </w:r>
    </w:p>
    <w:p w14:paraId="02A93CEC" w14:textId="77777777" w:rsidR="00956B0C" w:rsidRPr="00CB1BCD" w:rsidRDefault="00956B0C" w:rsidP="001C71C2">
      <w:pPr>
        <w:rPr>
          <w:rFonts w:cs="Times New Roman"/>
          <w:lang w:val="es-MX"/>
        </w:rPr>
      </w:pPr>
    </w:p>
    <w:p w14:paraId="716A0BAD" w14:textId="284A0B42" w:rsidR="00A95E30" w:rsidRPr="00956B0C" w:rsidRDefault="00A95E30" w:rsidP="001C71C2">
      <w:pPr>
        <w:rPr>
          <w:rFonts w:eastAsiaTheme="minorEastAsia" w:cs="Times New Roman"/>
          <w:lang w:val="es-MX"/>
        </w:rPr>
      </w:pPr>
      <m:oMathPara>
        <m:oMath>
          <m:r>
            <m:rPr>
              <m:sty m:val="p"/>
            </m:rPr>
            <w:rPr>
              <w:rFonts w:ascii="Cambria Math" w:hAnsi="Cambria Math" w:cs="Times New Roman"/>
              <w:lang w:val="es-MX"/>
            </w:rPr>
            <m:t>ln</m:t>
          </m:r>
          <m:r>
            <w:rPr>
              <w:rFonts w:ascii="Cambria Math" w:hAnsi="Cambria Math" w:cs="Times New Roman"/>
              <w:lang w:val="es-MX"/>
            </w:rPr>
            <m:t>⁡E(τ)=</m:t>
          </m:r>
          <m:r>
            <m:rPr>
              <m:sty m:val="p"/>
            </m:rPr>
            <w:rPr>
              <w:rFonts w:ascii="Cambria Math" w:hAnsi="Cambria Math" w:cs="Times New Roman"/>
              <w:lang w:val="es-MX"/>
            </w:rPr>
            <m:t>ln</m:t>
          </m:r>
          <m:r>
            <w:rPr>
              <w:rFonts w:ascii="Cambria Math" w:hAnsi="Cambria Math" w:cs="Times New Roman"/>
              <w:lang w:val="es-MX"/>
            </w:rPr>
            <m:t>⁡</m:t>
          </m:r>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0</m:t>
              </m:r>
            </m:sub>
          </m:sSub>
          <m:r>
            <w:rPr>
              <w:rFonts w:ascii="Cambria Math" w:hAnsi="Cambria Math" w:cs="Times New Roman"/>
              <w:lang w:val="es-MX"/>
            </w:rPr>
            <m:t>-kτ</m:t>
          </m:r>
        </m:oMath>
      </m:oMathPara>
    </w:p>
    <w:p w14:paraId="19FA4526" w14:textId="77777777" w:rsidR="00956B0C" w:rsidRPr="00CB1BCD" w:rsidRDefault="00956B0C" w:rsidP="001C71C2">
      <w:pPr>
        <w:rPr>
          <w:rFonts w:cs="Times New Roman"/>
          <w:lang w:val="es-MX"/>
        </w:rPr>
      </w:pPr>
    </w:p>
    <w:p w14:paraId="0C4EF0B3" w14:textId="59402A51" w:rsidR="00A95E30" w:rsidRDefault="00A95E30" w:rsidP="001C71C2">
      <w:pPr>
        <w:rPr>
          <w:rFonts w:cs="Times New Roman"/>
          <w:lang w:val="es-MX"/>
        </w:rPr>
      </w:pPr>
      <w:r w:rsidRPr="00CB1BCD">
        <w:rPr>
          <w:rFonts w:cs="Times New Roman"/>
          <w:lang w:val="es-MX"/>
        </w:rPr>
        <w:t xml:space="preserve">Primero se estimó la base contaminante remanente en el escenario de 75 USD/tCO₂. Dado que el </w:t>
      </w:r>
      <w:r w:rsidRPr="00CB1BCD">
        <w:rPr>
          <w:rFonts w:cs="Times New Roman"/>
          <w:i/>
          <w:iCs/>
          <w:lang w:val="es-MX"/>
        </w:rPr>
        <w:t>Carbon Pricing Assessment Tool</w:t>
      </w:r>
      <w:r w:rsidRPr="00CB1BCD">
        <w:rPr>
          <w:rFonts w:cs="Times New Roman"/>
          <w:lang w:val="es-MX"/>
        </w:rPr>
        <w:t xml:space="preserve"> del Fondo Monetario Internacional estima una recaudación potencial de 26,000 millones de dólares bajo ese precio, se obtuvo</w:t>
      </w:r>
      <w:r w:rsidR="006B2082" w:rsidRPr="00CB1BCD">
        <w:rPr>
          <w:rStyle w:val="Refdenotaalpie"/>
          <w:rFonts w:cs="Times New Roman"/>
          <w:lang w:val="es-MX"/>
        </w:rPr>
        <w:footnoteReference w:id="2"/>
      </w:r>
      <w:r w:rsidRPr="00CB1BCD">
        <w:rPr>
          <w:rFonts w:cs="Times New Roman"/>
          <w:lang w:val="es-MX"/>
        </w:rPr>
        <w:t>:</w:t>
      </w:r>
    </w:p>
    <w:p w14:paraId="50F91C8B" w14:textId="77777777" w:rsidR="00956B0C" w:rsidRPr="00CB1BCD" w:rsidRDefault="00956B0C" w:rsidP="001C71C2">
      <w:pPr>
        <w:rPr>
          <w:rFonts w:cs="Times New Roman"/>
          <w:lang w:val="es-MX"/>
        </w:rPr>
      </w:pPr>
    </w:p>
    <w:p w14:paraId="6EA6FCF6" w14:textId="17436C58" w:rsidR="00A95E30" w:rsidRPr="00CB1BCD" w:rsidRDefault="00000000" w:rsidP="001C71C2">
      <w:pPr>
        <w:rPr>
          <w:rFonts w:eastAsiaTheme="minorEastAsia" w:cs="Times New Roman"/>
          <w:lang w:val="es-MX"/>
        </w:rPr>
      </w:pPr>
      <m:oMathPara>
        <m:oMath>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75</m:t>
              </m:r>
            </m:sub>
          </m:sSub>
          <m:r>
            <w:rPr>
              <w:rFonts w:ascii="Cambria Math" w:hAnsi="Cambria Math" w:cs="Times New Roman"/>
              <w:lang w:val="es-MX"/>
            </w:rPr>
            <m:t>=</m:t>
          </m:r>
          <m:f>
            <m:fPr>
              <m:ctrlPr>
                <w:rPr>
                  <w:rFonts w:ascii="Cambria Math" w:hAnsi="Cambria Math" w:cs="Times New Roman"/>
                  <w:lang w:val="es-MX"/>
                </w:rPr>
              </m:ctrlPr>
            </m:fPr>
            <m:num>
              <m:sSub>
                <m:sSubPr>
                  <m:ctrlPr>
                    <w:rPr>
                      <w:rFonts w:ascii="Cambria Math" w:hAnsi="Cambria Math" w:cs="Times New Roman"/>
                      <w:lang w:val="es-MX"/>
                    </w:rPr>
                  </m:ctrlPr>
                </m:sSubPr>
                <m:e>
                  <m:r>
                    <w:rPr>
                      <w:rFonts w:ascii="Cambria Math" w:hAnsi="Cambria Math" w:cs="Times New Roman"/>
                      <w:lang w:val="es-MX"/>
                    </w:rPr>
                    <m:t>R</m:t>
                  </m:r>
                </m:e>
                <m:sub>
                  <m:r>
                    <w:rPr>
                      <w:rFonts w:ascii="Cambria Math" w:hAnsi="Cambria Math" w:cs="Times New Roman"/>
                      <w:lang w:val="es-MX"/>
                    </w:rPr>
                    <m:t>75</m:t>
                  </m:r>
                </m:sub>
              </m:sSub>
            </m:num>
            <m:den>
              <m:sSub>
                <m:sSubPr>
                  <m:ctrlPr>
                    <w:rPr>
                      <w:rFonts w:ascii="Cambria Math" w:hAnsi="Cambria Math" w:cs="Times New Roman"/>
                      <w:lang w:val="es-MX"/>
                    </w:rPr>
                  </m:ctrlPr>
                </m:sSubPr>
                <m:e>
                  <m:r>
                    <w:rPr>
                      <w:rFonts w:ascii="Cambria Math" w:hAnsi="Cambria Math" w:cs="Times New Roman"/>
                      <w:lang w:val="es-MX"/>
                    </w:rPr>
                    <m:t>τ</m:t>
                  </m:r>
                </m:e>
                <m:sub>
                  <m:r>
                    <w:rPr>
                      <w:rFonts w:ascii="Cambria Math" w:hAnsi="Cambria Math" w:cs="Times New Roman"/>
                      <w:lang w:val="es-MX"/>
                    </w:rPr>
                    <m:t>75</m:t>
                  </m:r>
                </m:sub>
              </m:sSub>
            </m:den>
          </m:f>
        </m:oMath>
      </m:oMathPara>
    </w:p>
    <w:p w14:paraId="4B74B873" w14:textId="54C7DF2D" w:rsidR="00A95E30" w:rsidRPr="00956B0C" w:rsidRDefault="00000000" w:rsidP="001C71C2">
      <w:pPr>
        <w:rPr>
          <w:rFonts w:eastAsiaTheme="minorEastAsia" w:cs="Times New Roman"/>
          <w:lang w:val="es-MX"/>
        </w:rPr>
      </w:pPr>
      <m:oMathPara>
        <m:oMath>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75</m:t>
              </m:r>
            </m:sub>
          </m:sSub>
          <m:r>
            <w:rPr>
              <w:rFonts w:ascii="Cambria Math" w:hAnsi="Cambria Math" w:cs="Times New Roman"/>
              <w:lang w:val="es-MX"/>
            </w:rPr>
            <m:t>=</m:t>
          </m:r>
          <m:f>
            <m:fPr>
              <m:ctrlPr>
                <w:rPr>
                  <w:rFonts w:ascii="Cambria Math" w:hAnsi="Cambria Math" w:cs="Times New Roman"/>
                  <w:lang w:val="es-MX"/>
                </w:rPr>
              </m:ctrlPr>
            </m:fPr>
            <m:num>
              <m:r>
                <m:rPr>
                  <m:sty m:val="p"/>
                </m:rPr>
                <w:rPr>
                  <w:rFonts w:ascii="Cambria Math" w:hAnsi="Cambria Math" w:cs="Times New Roman"/>
                  <w:lang w:val="es-MX"/>
                </w:rPr>
                <m:t>26,000</m:t>
              </m:r>
            </m:num>
            <m:den>
              <m:r>
                <w:rPr>
                  <w:rFonts w:ascii="Cambria Math" w:hAnsi="Cambria Math" w:cs="Times New Roman"/>
                  <w:lang w:val="es-MX"/>
                </w:rPr>
                <m:t>75</m:t>
              </m:r>
            </m:den>
          </m:f>
          <m:r>
            <w:rPr>
              <w:rFonts w:ascii="Cambria Math" w:hAnsi="Cambria Math" w:cs="Times New Roman"/>
              <w:lang w:val="es-MX"/>
            </w:rPr>
            <m:t>=346.67</m:t>
          </m:r>
          <m:r>
            <m:rPr>
              <m:sty m:val="p"/>
            </m:rPr>
            <w:rPr>
              <w:rFonts w:ascii="Cambria Math" w:hAnsi="Cambria Math" w:cs="Times New Roman"/>
              <w:lang w:val="es-MX"/>
            </w:rPr>
            <m:t xml:space="preserve"> </m:t>
          </m:r>
          <m:sSub>
            <m:sSubPr>
              <m:ctrlPr>
                <w:rPr>
                  <w:rFonts w:ascii="Cambria Math" w:hAnsi="Cambria Math" w:cs="Times New Roman"/>
                  <w:lang w:val="es-MX"/>
                </w:rPr>
              </m:ctrlPr>
            </m:sSubPr>
            <m:e>
              <m:r>
                <m:rPr>
                  <m:nor/>
                </m:rPr>
                <w:rPr>
                  <w:rFonts w:cs="Times New Roman"/>
                  <w:lang w:val="es-MX"/>
                </w:rPr>
                <m:t>MtCO</m:t>
              </m:r>
            </m:e>
            <m:sub>
              <m:r>
                <w:rPr>
                  <w:rFonts w:ascii="Cambria Math" w:hAnsi="Cambria Math" w:cs="Times New Roman"/>
                  <w:lang w:val="es-MX"/>
                </w:rPr>
                <m:t>2</m:t>
              </m:r>
            </m:sub>
          </m:sSub>
        </m:oMath>
      </m:oMathPara>
    </w:p>
    <w:p w14:paraId="58D436BF" w14:textId="77777777" w:rsidR="00956B0C" w:rsidRPr="00CB1BCD" w:rsidRDefault="00956B0C" w:rsidP="001C71C2">
      <w:pPr>
        <w:rPr>
          <w:rFonts w:cs="Times New Roman"/>
          <w:lang w:val="es-MX"/>
        </w:rPr>
      </w:pPr>
    </w:p>
    <w:p w14:paraId="57D5012C" w14:textId="77777777" w:rsidR="00A95E30" w:rsidRDefault="00A95E30" w:rsidP="001C71C2">
      <w:pPr>
        <w:rPr>
          <w:rFonts w:cs="Times New Roman"/>
          <w:lang w:val="es-MX"/>
        </w:rPr>
      </w:pPr>
      <w:r w:rsidRPr="00CB1BCD">
        <w:rPr>
          <w:rFonts w:cs="Times New Roman"/>
          <w:lang w:val="es-MX"/>
        </w:rPr>
        <w:t>Como el mismo escenario reporta una reducción de emisiones de 23%, las emisiones remanentes representan 77% del escenario base. En consecuencia:</w:t>
      </w:r>
    </w:p>
    <w:p w14:paraId="58D4B87F" w14:textId="77777777" w:rsidR="00956B0C" w:rsidRPr="00CB1BCD" w:rsidRDefault="00956B0C" w:rsidP="001C71C2">
      <w:pPr>
        <w:rPr>
          <w:rFonts w:cs="Times New Roman"/>
          <w:lang w:val="es-MX"/>
        </w:rPr>
      </w:pPr>
    </w:p>
    <w:p w14:paraId="4A55F2F4" w14:textId="5E565D9F" w:rsidR="00A95E30" w:rsidRPr="00CB1BCD" w:rsidRDefault="00000000" w:rsidP="001C71C2">
      <w:pPr>
        <w:rPr>
          <w:rFonts w:eastAsiaTheme="minorEastAsia" w:cs="Times New Roman"/>
          <w:lang w:val="es-MX"/>
        </w:rPr>
      </w:pPr>
      <m:oMathPara>
        <m:oMath>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75</m:t>
              </m:r>
            </m:sub>
          </m:sSub>
          <m:r>
            <w:rPr>
              <w:rFonts w:ascii="Cambria Math" w:hAnsi="Cambria Math" w:cs="Times New Roman"/>
              <w:lang w:val="es-MX"/>
            </w:rPr>
            <m:t>=0.77</m:t>
          </m:r>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0</m:t>
              </m:r>
            </m:sub>
          </m:sSub>
        </m:oMath>
      </m:oMathPara>
    </w:p>
    <w:p w14:paraId="219AD652" w14:textId="5ED9E980" w:rsidR="00A95E30" w:rsidRPr="00956B0C" w:rsidRDefault="00000000" w:rsidP="001C71C2">
      <w:pPr>
        <w:rPr>
          <w:rFonts w:eastAsiaTheme="minorEastAsia" w:cs="Times New Roman"/>
          <w:lang w:val="es-MX"/>
        </w:rPr>
      </w:pPr>
      <m:oMathPara>
        <m:oMath>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0</m:t>
              </m:r>
            </m:sub>
          </m:sSub>
          <m:r>
            <w:rPr>
              <w:rFonts w:ascii="Cambria Math" w:hAnsi="Cambria Math" w:cs="Times New Roman"/>
              <w:lang w:val="es-MX"/>
            </w:rPr>
            <m:t>=</m:t>
          </m:r>
          <m:f>
            <m:fPr>
              <m:ctrlPr>
                <w:rPr>
                  <w:rFonts w:ascii="Cambria Math" w:hAnsi="Cambria Math" w:cs="Times New Roman"/>
                  <w:lang w:val="es-MX"/>
                </w:rPr>
              </m:ctrlPr>
            </m:fPr>
            <m:num>
              <m:r>
                <w:rPr>
                  <w:rFonts w:ascii="Cambria Math" w:hAnsi="Cambria Math" w:cs="Times New Roman"/>
                  <w:lang w:val="es-MX"/>
                </w:rPr>
                <m:t>346.67</m:t>
              </m:r>
            </m:num>
            <m:den>
              <m:r>
                <w:rPr>
                  <w:rFonts w:ascii="Cambria Math" w:hAnsi="Cambria Math" w:cs="Times New Roman"/>
                  <w:lang w:val="es-MX"/>
                </w:rPr>
                <m:t>0.77</m:t>
              </m:r>
            </m:den>
          </m:f>
          <m:r>
            <w:rPr>
              <w:rFonts w:ascii="Cambria Math" w:hAnsi="Cambria Math" w:cs="Times New Roman"/>
              <w:lang w:val="es-MX"/>
            </w:rPr>
            <m:t>=450.22</m:t>
          </m:r>
          <m:r>
            <m:rPr>
              <m:sty m:val="p"/>
            </m:rPr>
            <w:rPr>
              <w:rFonts w:ascii="Cambria Math" w:hAnsi="Cambria Math" w:cs="Times New Roman"/>
              <w:lang w:val="es-MX"/>
            </w:rPr>
            <m:t xml:space="preserve"> </m:t>
          </m:r>
          <m:sSub>
            <m:sSubPr>
              <m:ctrlPr>
                <w:rPr>
                  <w:rFonts w:ascii="Cambria Math" w:hAnsi="Cambria Math" w:cs="Times New Roman"/>
                  <w:lang w:val="es-MX"/>
                </w:rPr>
              </m:ctrlPr>
            </m:sSubPr>
            <m:e>
              <m:r>
                <m:rPr>
                  <m:nor/>
                </m:rPr>
                <w:rPr>
                  <w:rFonts w:cs="Times New Roman"/>
                  <w:lang w:val="es-MX"/>
                </w:rPr>
                <m:t>MtCO</m:t>
              </m:r>
            </m:e>
            <m:sub>
              <m:r>
                <w:rPr>
                  <w:rFonts w:ascii="Cambria Math" w:hAnsi="Cambria Math" w:cs="Times New Roman"/>
                  <w:lang w:val="es-MX"/>
                </w:rPr>
                <m:t>2</m:t>
              </m:r>
            </m:sub>
          </m:sSub>
        </m:oMath>
      </m:oMathPara>
    </w:p>
    <w:p w14:paraId="44543A21" w14:textId="77777777" w:rsidR="00956B0C" w:rsidRPr="00CB1BCD" w:rsidRDefault="00956B0C" w:rsidP="001C71C2">
      <w:pPr>
        <w:rPr>
          <w:rFonts w:cs="Times New Roman"/>
          <w:lang w:val="es-MX"/>
        </w:rPr>
      </w:pPr>
    </w:p>
    <w:p w14:paraId="4C1CB964" w14:textId="68DFB73A" w:rsidR="00A95E30" w:rsidRPr="00CB1BCD" w:rsidRDefault="00A95E30" w:rsidP="001C71C2">
      <w:pPr>
        <w:rPr>
          <w:rFonts w:cs="Times New Roman"/>
          <w:lang w:val="es-MX"/>
        </w:rPr>
      </w:pPr>
      <w:r w:rsidRPr="00CB1BCD">
        <w:rPr>
          <w:rFonts w:cs="Times New Roman"/>
          <w:lang w:val="es-MX"/>
        </w:rPr>
        <w:t xml:space="preserve">El parámetro </w:t>
      </w:r>
      <m:oMath>
        <m:r>
          <w:rPr>
            <w:rFonts w:ascii="Cambria Math" w:hAnsi="Cambria Math" w:cs="Times New Roman"/>
            <w:lang w:val="es-MX"/>
          </w:rPr>
          <m:t>k</m:t>
        </m:r>
      </m:oMath>
      <w:r w:rsidRPr="00CB1BCD">
        <w:rPr>
          <w:rFonts w:eastAsiaTheme="minorEastAsia" w:cs="Times New Roman"/>
          <w:lang w:val="es-MX"/>
        </w:rPr>
        <w:t xml:space="preserve"> </w:t>
      </w:r>
      <w:r w:rsidRPr="00CB1BCD">
        <w:rPr>
          <w:rFonts w:cs="Times New Roman"/>
          <w:lang w:val="es-MX"/>
        </w:rPr>
        <w:t>se calibró imponiendo que el modelo reprodujera la reducción de 23% bajo el precio de 75 USD/tCO₂:</w:t>
      </w:r>
    </w:p>
    <w:p w14:paraId="33A47AC0" w14:textId="77777777" w:rsidR="00A95E30" w:rsidRPr="00CB1BCD" w:rsidRDefault="00A95E30" w:rsidP="001C71C2">
      <w:pPr>
        <w:rPr>
          <w:rFonts w:eastAsiaTheme="minorEastAsia" w:cs="Times New Roman"/>
          <w:lang w:val="es-MX"/>
        </w:rPr>
      </w:pPr>
      <m:oMathPara>
        <m:oMath>
          <m:r>
            <w:rPr>
              <w:rFonts w:ascii="Cambria Math" w:hAnsi="Cambria Math" w:cs="Times New Roman"/>
              <w:lang w:val="es-MX"/>
            </w:rPr>
            <m:t>E(75)=0.77</m:t>
          </m:r>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0</m:t>
              </m:r>
            </m:sub>
          </m:sSub>
        </m:oMath>
      </m:oMathPara>
    </w:p>
    <w:p w14:paraId="7497D232" w14:textId="77777777" w:rsidR="00A95E30" w:rsidRPr="00CB1BCD" w:rsidRDefault="00000000" w:rsidP="001C71C2">
      <w:pPr>
        <w:rPr>
          <w:rFonts w:eastAsiaTheme="minorEastAsia" w:cs="Times New Roman"/>
          <w:lang w:val="es-MX"/>
        </w:rPr>
      </w:pPr>
      <m:oMathPara>
        <m:oMath>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0</m:t>
              </m:r>
            </m:sub>
          </m:sSub>
          <m:sSup>
            <m:sSupPr>
              <m:ctrlPr>
                <w:rPr>
                  <w:rFonts w:ascii="Cambria Math" w:hAnsi="Cambria Math" w:cs="Times New Roman"/>
                  <w:lang w:val="es-MX"/>
                </w:rPr>
              </m:ctrlPr>
            </m:sSupPr>
            <m:e>
              <m:r>
                <w:rPr>
                  <w:rFonts w:ascii="Cambria Math" w:hAnsi="Cambria Math" w:cs="Times New Roman"/>
                  <w:lang w:val="es-MX"/>
                </w:rPr>
                <m:t>e</m:t>
              </m:r>
            </m:e>
            <m:sup>
              <m:r>
                <w:rPr>
                  <w:rFonts w:ascii="Cambria Math" w:hAnsi="Cambria Math" w:cs="Times New Roman"/>
                  <w:lang w:val="es-MX"/>
                </w:rPr>
                <m:t>-75k</m:t>
              </m:r>
            </m:sup>
          </m:sSup>
          <m:r>
            <w:rPr>
              <w:rFonts w:ascii="Cambria Math" w:hAnsi="Cambria Math" w:cs="Times New Roman"/>
              <w:lang w:val="es-MX"/>
            </w:rPr>
            <m:t>=0.77</m:t>
          </m:r>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0</m:t>
              </m:r>
            </m:sub>
          </m:sSub>
        </m:oMath>
      </m:oMathPara>
    </w:p>
    <w:p w14:paraId="79208D65" w14:textId="77777777" w:rsidR="00A95E30" w:rsidRPr="00CB1BCD" w:rsidRDefault="00A95E30" w:rsidP="001C71C2">
      <w:pPr>
        <w:rPr>
          <w:rFonts w:eastAsiaTheme="minorEastAsia" w:cs="Times New Roman"/>
          <w:lang w:val="es-MX"/>
        </w:rPr>
      </w:pPr>
      <m:oMathPara>
        <m:oMath>
          <m:r>
            <w:rPr>
              <w:rFonts w:ascii="Cambria Math" w:hAnsi="Cambria Math" w:cs="Times New Roman"/>
              <w:lang w:val="es-MX"/>
            </w:rPr>
            <m:t>k=</m:t>
          </m:r>
          <m:f>
            <m:fPr>
              <m:ctrlPr>
                <w:rPr>
                  <w:rFonts w:ascii="Cambria Math" w:hAnsi="Cambria Math" w:cs="Times New Roman"/>
                  <w:lang w:val="es-MX"/>
                </w:rPr>
              </m:ctrlPr>
            </m:fPr>
            <m:num>
              <m:r>
                <w:rPr>
                  <w:rFonts w:ascii="Cambria Math" w:hAnsi="Cambria Math" w:cs="Times New Roman"/>
                  <w:lang w:val="es-MX"/>
                </w:rPr>
                <m:t>-</m:t>
              </m:r>
              <m:r>
                <m:rPr>
                  <m:sty m:val="p"/>
                </m:rPr>
                <w:rPr>
                  <w:rFonts w:ascii="Cambria Math" w:hAnsi="Cambria Math" w:cs="Times New Roman"/>
                  <w:lang w:val="es-MX"/>
                </w:rPr>
                <m:t>ln</m:t>
              </m:r>
              <m:r>
                <w:rPr>
                  <w:rFonts w:ascii="Cambria Math" w:hAnsi="Cambria Math" w:cs="Times New Roman"/>
                  <w:lang w:val="es-MX"/>
                </w:rPr>
                <m:t>⁡(0.77)</m:t>
              </m:r>
            </m:num>
            <m:den>
              <m:r>
                <w:rPr>
                  <w:rFonts w:ascii="Cambria Math" w:hAnsi="Cambria Math" w:cs="Times New Roman"/>
                  <w:lang w:val="es-MX"/>
                </w:rPr>
                <m:t>75</m:t>
              </m:r>
            </m:den>
          </m:f>
        </m:oMath>
      </m:oMathPara>
    </w:p>
    <w:p w14:paraId="0501149D" w14:textId="0D6A948E" w:rsidR="00A95E30" w:rsidRPr="00956B0C" w:rsidRDefault="00A95E30" w:rsidP="001C71C2">
      <w:pPr>
        <w:rPr>
          <w:rFonts w:eastAsiaTheme="minorEastAsia" w:cs="Times New Roman"/>
          <w:i/>
          <w:lang w:val="es-MX"/>
        </w:rPr>
      </w:pPr>
      <m:oMathPara>
        <m:oMath>
          <m:r>
            <w:rPr>
              <w:rFonts w:ascii="Cambria Math" w:hAnsi="Cambria Math" w:cs="Times New Roman"/>
              <w:lang w:val="es-MX"/>
            </w:rPr>
            <m:t>k=0.003485</m:t>
          </m:r>
        </m:oMath>
      </m:oMathPara>
    </w:p>
    <w:p w14:paraId="30D852C2" w14:textId="77777777" w:rsidR="00956B0C" w:rsidRPr="00CB1BCD" w:rsidRDefault="00956B0C" w:rsidP="001C71C2">
      <w:pPr>
        <w:rPr>
          <w:rFonts w:eastAsiaTheme="minorEastAsia" w:cs="Times New Roman"/>
          <w:i/>
          <w:lang w:val="es-MX"/>
        </w:rPr>
      </w:pPr>
    </w:p>
    <w:p w14:paraId="15807200" w14:textId="77777777" w:rsidR="00A95E30" w:rsidRDefault="00A95E30" w:rsidP="001C71C2">
      <w:pPr>
        <w:rPr>
          <w:rFonts w:cs="Times New Roman"/>
          <w:lang w:val="es-MX"/>
        </w:rPr>
      </w:pPr>
      <w:r w:rsidRPr="00CB1BCD">
        <w:rPr>
          <w:rFonts w:cs="Times New Roman"/>
          <w:lang w:val="es-MX"/>
        </w:rPr>
        <w:t>Por tanto, la función de emisiones empleada en la simulación fue:</w:t>
      </w:r>
    </w:p>
    <w:p w14:paraId="6A6E44C2" w14:textId="77777777" w:rsidR="00956B0C" w:rsidRPr="00CB1BCD" w:rsidRDefault="00956B0C" w:rsidP="001C71C2">
      <w:pPr>
        <w:rPr>
          <w:rFonts w:cs="Times New Roman"/>
          <w:lang w:val="es-MX"/>
        </w:rPr>
      </w:pPr>
    </w:p>
    <w:p w14:paraId="5B7B3CCD" w14:textId="746091C3" w:rsidR="00AB0E2C" w:rsidRPr="00CB1BCD" w:rsidRDefault="00A95E30" w:rsidP="001C71C2">
      <w:pPr>
        <w:rPr>
          <w:rFonts w:cs="Times New Roman"/>
          <w:lang w:val="es-MX"/>
        </w:rPr>
      </w:pPr>
      <m:oMathPara>
        <m:oMath>
          <m:r>
            <w:rPr>
              <w:rFonts w:ascii="Cambria Math" w:hAnsi="Cambria Math" w:cs="Times New Roman"/>
              <w:lang w:val="es-MX"/>
            </w:rPr>
            <m:t>E(τ)=450.22</m:t>
          </m:r>
          <m:sSup>
            <m:sSupPr>
              <m:ctrlPr>
                <w:rPr>
                  <w:rFonts w:ascii="Cambria Math" w:hAnsi="Cambria Math" w:cs="Times New Roman"/>
                  <w:lang w:val="es-MX"/>
                </w:rPr>
              </m:ctrlPr>
            </m:sSupPr>
            <m:e>
              <m:r>
                <w:rPr>
                  <w:rFonts w:ascii="Cambria Math" w:hAnsi="Cambria Math" w:cs="Times New Roman"/>
                  <w:lang w:val="es-MX"/>
                </w:rPr>
                <m:t>e</m:t>
              </m:r>
            </m:e>
            <m:sup>
              <m:r>
                <w:rPr>
                  <w:rFonts w:ascii="Cambria Math" w:hAnsi="Cambria Math" w:cs="Times New Roman"/>
                  <w:lang w:val="es-MX"/>
                </w:rPr>
                <m:t>-0.003485τ</m:t>
              </m:r>
            </m:sup>
          </m:sSup>
        </m:oMath>
      </m:oMathPara>
    </w:p>
    <w:p w14:paraId="16C8909C" w14:textId="0DA1173E" w:rsidR="00E97B70" w:rsidRPr="00CB1BCD" w:rsidRDefault="00E97B70" w:rsidP="001C71C2">
      <w:pPr>
        <w:pStyle w:val="Ttulo2"/>
        <w:spacing w:line="360" w:lineRule="auto"/>
        <w:rPr>
          <w:color w:val="auto"/>
        </w:rPr>
      </w:pPr>
      <w:r w:rsidRPr="00CB1BCD">
        <w:rPr>
          <w:color w:val="auto"/>
        </w:rPr>
        <w:lastRenderedPageBreak/>
        <w:t>Simulación y medición del bienestar parcial</w:t>
      </w:r>
    </w:p>
    <w:p w14:paraId="7BC435D4" w14:textId="77777777" w:rsidR="00E97B70" w:rsidRDefault="00E97B70" w:rsidP="001C71C2">
      <w:pPr>
        <w:rPr>
          <w:rFonts w:cs="Times New Roman"/>
          <w:lang w:val="es-MX"/>
        </w:rPr>
      </w:pPr>
      <w:r w:rsidRPr="00CB1BCD">
        <w:rPr>
          <w:rFonts w:cs="Times New Roman"/>
          <w:lang w:val="es-MX"/>
        </w:rPr>
        <w:t>La simulación principal consideró tres escenarios de precio al carbono: 25, 50 y 75 USD/tCO₂. El primer escenario representa un precio bajo; el segundo, una trayectoria intermedia; y el tercero, el escenario ancla asociado al análisis del Fondo Monetario Internacional para México.</w:t>
      </w:r>
    </w:p>
    <w:p w14:paraId="0BB97E54" w14:textId="77777777" w:rsidR="00956B0C" w:rsidRPr="00CB1BCD" w:rsidRDefault="00956B0C" w:rsidP="001C71C2">
      <w:pPr>
        <w:rPr>
          <w:rFonts w:cs="Times New Roman"/>
          <w:lang w:val="es-MX"/>
        </w:rPr>
      </w:pPr>
    </w:p>
    <w:p w14:paraId="3151F609" w14:textId="3FF6522F" w:rsidR="00E97B70" w:rsidRDefault="00E97B70" w:rsidP="001C71C2">
      <w:pPr>
        <w:rPr>
          <w:rFonts w:cs="Times New Roman"/>
          <w:lang w:val="es-MX"/>
        </w:rPr>
      </w:pPr>
      <w:r w:rsidRPr="00CB1BCD">
        <w:rPr>
          <w:rFonts w:cs="Times New Roman"/>
          <w:lang w:val="es-MX"/>
        </w:rPr>
        <w:t xml:space="preserve">Para identificar el máximo recaudatorio de la Curva de Laffer ambiental, se construyó una </w:t>
      </w:r>
      <w:r w:rsidR="00E717A8" w:rsidRPr="00CB1BCD">
        <w:rPr>
          <w:rFonts w:cs="Times New Roman"/>
          <w:lang w:val="es-MX"/>
        </w:rPr>
        <w:t>malla</w:t>
      </w:r>
      <w:r w:rsidRPr="00CB1BCD">
        <w:rPr>
          <w:rFonts w:cs="Times New Roman"/>
          <w:lang w:val="es-MX"/>
        </w:rPr>
        <w:t xml:space="preserve"> </w:t>
      </w:r>
      <w:r w:rsidR="00E717A8" w:rsidRPr="00CB1BCD">
        <w:rPr>
          <w:rFonts w:cs="Times New Roman"/>
          <w:lang w:val="es-MX"/>
        </w:rPr>
        <w:t>de valores</w:t>
      </w:r>
      <w:r w:rsidRPr="00CB1BCD">
        <w:rPr>
          <w:rFonts w:cs="Times New Roman"/>
          <w:lang w:val="es-MX"/>
        </w:rPr>
        <w:t xml:space="preserve"> entre 0 y 400 USD/tCO₂, con incrementos de 25 USD/tCO₂. Para cada escenario se calcularon las emisiones remanentes:</w:t>
      </w:r>
    </w:p>
    <w:p w14:paraId="5E524464" w14:textId="77777777" w:rsidR="00956B0C" w:rsidRPr="00CB1BCD" w:rsidRDefault="00956B0C" w:rsidP="001C71C2">
      <w:pPr>
        <w:rPr>
          <w:rFonts w:cs="Times New Roman"/>
          <w:lang w:val="es-MX"/>
        </w:rPr>
      </w:pPr>
    </w:p>
    <w:p w14:paraId="30588007" w14:textId="3E474965" w:rsidR="00E97B70" w:rsidRPr="00956B0C" w:rsidRDefault="00000000" w:rsidP="001C71C2">
      <w:pPr>
        <w:rPr>
          <w:rFonts w:eastAsiaTheme="minorEastAsia" w:cs="Times New Roman"/>
          <w:lang w:val="es-MX"/>
        </w:rPr>
      </w:pPr>
      <m:oMathPara>
        <m:oMath>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s</m:t>
              </m:r>
            </m:sub>
          </m:sSub>
          <m:r>
            <w:rPr>
              <w:rFonts w:ascii="Cambria Math" w:hAnsi="Cambria Math" w:cs="Times New Roman"/>
              <w:lang w:val="es-MX"/>
            </w:rPr>
            <m:t>=</m:t>
          </m:r>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0</m:t>
              </m:r>
            </m:sub>
          </m:sSub>
          <m:sSup>
            <m:sSupPr>
              <m:ctrlPr>
                <w:rPr>
                  <w:rFonts w:ascii="Cambria Math" w:hAnsi="Cambria Math" w:cs="Times New Roman"/>
                  <w:lang w:val="es-MX"/>
                </w:rPr>
              </m:ctrlPr>
            </m:sSupPr>
            <m:e>
              <m:r>
                <w:rPr>
                  <w:rFonts w:ascii="Cambria Math" w:hAnsi="Cambria Math" w:cs="Times New Roman"/>
                  <w:lang w:val="es-MX"/>
                </w:rPr>
                <m:t>e</m:t>
              </m:r>
            </m:e>
            <m:sup>
              <m:r>
                <w:rPr>
                  <w:rFonts w:ascii="Cambria Math" w:hAnsi="Cambria Math" w:cs="Times New Roman"/>
                  <w:lang w:val="es-MX"/>
                </w:rPr>
                <m:t>-k</m:t>
              </m:r>
              <m:sSub>
                <m:sSubPr>
                  <m:ctrlPr>
                    <w:rPr>
                      <w:rFonts w:ascii="Cambria Math" w:hAnsi="Cambria Math" w:cs="Times New Roman"/>
                      <w:lang w:val="es-MX"/>
                    </w:rPr>
                  </m:ctrlPr>
                </m:sSubPr>
                <m:e>
                  <m:r>
                    <w:rPr>
                      <w:rFonts w:ascii="Cambria Math" w:hAnsi="Cambria Math" w:cs="Times New Roman"/>
                      <w:lang w:val="es-MX"/>
                    </w:rPr>
                    <m:t>τ</m:t>
                  </m:r>
                </m:e>
                <m:sub>
                  <m:r>
                    <w:rPr>
                      <w:rFonts w:ascii="Cambria Math" w:hAnsi="Cambria Math" w:cs="Times New Roman"/>
                      <w:lang w:val="es-MX"/>
                    </w:rPr>
                    <m:t>s</m:t>
                  </m:r>
                </m:sub>
              </m:sSub>
            </m:sup>
          </m:sSup>
        </m:oMath>
      </m:oMathPara>
    </w:p>
    <w:p w14:paraId="1E1E1584" w14:textId="77777777" w:rsidR="00956B0C" w:rsidRPr="00CB1BCD" w:rsidRDefault="00956B0C" w:rsidP="001C71C2">
      <w:pPr>
        <w:rPr>
          <w:rFonts w:cs="Times New Roman"/>
          <w:lang w:val="es-MX"/>
        </w:rPr>
      </w:pPr>
    </w:p>
    <w:p w14:paraId="4E344E54" w14:textId="77777777" w:rsidR="00E97B70" w:rsidRDefault="00E97B70" w:rsidP="001C71C2">
      <w:pPr>
        <w:rPr>
          <w:rFonts w:cs="Times New Roman"/>
          <w:lang w:val="es-MX"/>
        </w:rPr>
      </w:pPr>
      <w:r w:rsidRPr="00CB1BCD">
        <w:rPr>
          <w:rFonts w:cs="Times New Roman"/>
          <w:lang w:val="es-MX"/>
        </w:rPr>
        <w:t>las emisiones evitadas:</w:t>
      </w:r>
    </w:p>
    <w:p w14:paraId="535EBF2D" w14:textId="77777777" w:rsidR="00956B0C" w:rsidRPr="00CB1BCD" w:rsidRDefault="00956B0C" w:rsidP="001C71C2">
      <w:pPr>
        <w:rPr>
          <w:rFonts w:cs="Times New Roman"/>
          <w:lang w:val="es-MX"/>
        </w:rPr>
      </w:pPr>
    </w:p>
    <w:p w14:paraId="47ADD8C9" w14:textId="4FD77D69" w:rsidR="00E97B70" w:rsidRPr="00956B0C" w:rsidRDefault="00E97B70" w:rsidP="001C71C2">
      <w:pPr>
        <w:rPr>
          <w:rFonts w:eastAsiaTheme="minorEastAsia" w:cs="Times New Roman"/>
          <w:lang w:val="es-MX"/>
        </w:rPr>
      </w:pPr>
      <m:oMathPara>
        <m:oMath>
          <m:r>
            <m:rPr>
              <m:sty m:val="p"/>
            </m:rPr>
            <w:rPr>
              <w:rFonts w:ascii="Cambria Math" w:hAnsi="Cambria Math" w:cs="Times New Roman"/>
              <w:lang w:val="es-MX"/>
            </w:rPr>
            <m:t>Δ</m:t>
          </m:r>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s</m:t>
              </m:r>
            </m:sub>
          </m:sSub>
          <m:r>
            <w:rPr>
              <w:rFonts w:ascii="Cambria Math" w:hAnsi="Cambria Math" w:cs="Times New Roman"/>
              <w:lang w:val="es-MX"/>
            </w:rPr>
            <m:t>=</m:t>
          </m:r>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0</m:t>
              </m:r>
            </m:sub>
          </m:sSub>
          <m:r>
            <w:rPr>
              <w:rFonts w:ascii="Cambria Math" w:hAnsi="Cambria Math" w:cs="Times New Roman"/>
              <w:lang w:val="es-MX"/>
            </w:rPr>
            <m:t>-</m:t>
          </m:r>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s</m:t>
              </m:r>
            </m:sub>
          </m:sSub>
        </m:oMath>
      </m:oMathPara>
    </w:p>
    <w:p w14:paraId="45A76C67" w14:textId="77777777" w:rsidR="00956B0C" w:rsidRPr="00CB1BCD" w:rsidRDefault="00956B0C" w:rsidP="001C71C2">
      <w:pPr>
        <w:rPr>
          <w:rFonts w:cs="Times New Roman"/>
          <w:lang w:val="es-MX"/>
        </w:rPr>
      </w:pPr>
    </w:p>
    <w:p w14:paraId="736282EA" w14:textId="76BD1F72" w:rsidR="00E97B70" w:rsidRDefault="00E97B70" w:rsidP="001C71C2">
      <w:pPr>
        <w:rPr>
          <w:rFonts w:cs="Times New Roman"/>
          <w:lang w:val="es-MX"/>
        </w:rPr>
      </w:pPr>
      <w:r w:rsidRPr="00CB1BCD">
        <w:rPr>
          <w:rFonts w:cs="Times New Roman"/>
          <w:lang w:val="es-MX"/>
        </w:rPr>
        <w:t>la reducción porcentual</w:t>
      </w:r>
      <w:r w:rsidR="00E717A8" w:rsidRPr="00CB1BCD">
        <w:rPr>
          <w:rFonts w:cs="Times New Roman"/>
          <w:lang w:val="es-MX"/>
        </w:rPr>
        <w:t xml:space="preserve"> respecto al escenario base</w:t>
      </w:r>
      <w:r w:rsidRPr="00CB1BCD">
        <w:rPr>
          <w:rFonts w:cs="Times New Roman"/>
          <w:lang w:val="es-MX"/>
        </w:rPr>
        <w:t>:</w:t>
      </w:r>
    </w:p>
    <w:p w14:paraId="05D90CDC" w14:textId="77777777" w:rsidR="00956B0C" w:rsidRPr="00CB1BCD" w:rsidRDefault="00956B0C" w:rsidP="001C71C2">
      <w:pPr>
        <w:rPr>
          <w:rFonts w:cs="Times New Roman"/>
          <w:lang w:val="es-MX"/>
        </w:rPr>
      </w:pPr>
    </w:p>
    <w:p w14:paraId="25453A6E" w14:textId="4B67C178" w:rsidR="00E97B70" w:rsidRPr="00956B0C" w:rsidRDefault="00E97B70" w:rsidP="001C71C2">
      <w:pPr>
        <w:rPr>
          <w:rFonts w:eastAsiaTheme="minorEastAsia" w:cs="Times New Roman"/>
          <w:lang w:val="es-MX"/>
        </w:rPr>
      </w:pPr>
      <m:oMathPara>
        <m:oMath>
          <m:r>
            <w:rPr>
              <w:rFonts w:ascii="Cambria Math" w:hAnsi="Cambria Math" w:cs="Times New Roman"/>
              <w:lang w:val="es-MX"/>
            </w:rPr>
            <m:t>Re</m:t>
          </m:r>
          <m:sSub>
            <m:sSubPr>
              <m:ctrlPr>
                <w:rPr>
                  <w:rFonts w:ascii="Cambria Math" w:hAnsi="Cambria Math" w:cs="Times New Roman"/>
                  <w:lang w:val="es-MX"/>
                </w:rPr>
              </m:ctrlPr>
            </m:sSubPr>
            <m:e>
              <m:r>
                <w:rPr>
                  <w:rFonts w:ascii="Cambria Math" w:hAnsi="Cambria Math" w:cs="Times New Roman"/>
                  <w:lang w:val="es-MX"/>
                </w:rPr>
                <m:t>d</m:t>
              </m:r>
            </m:e>
            <m:sub>
              <m:r>
                <w:rPr>
                  <w:rFonts w:ascii="Cambria Math" w:hAnsi="Cambria Math" w:cs="Times New Roman"/>
                  <w:lang w:val="es-MX"/>
                </w:rPr>
                <m:t>s</m:t>
              </m:r>
            </m:sub>
          </m:sSub>
          <m:r>
            <w:rPr>
              <w:rFonts w:ascii="Cambria Math" w:hAnsi="Cambria Math" w:cs="Times New Roman"/>
              <w:lang w:val="es-MX"/>
            </w:rPr>
            <m:t>=</m:t>
          </m:r>
          <m:f>
            <m:fPr>
              <m:ctrlPr>
                <w:rPr>
                  <w:rFonts w:ascii="Cambria Math" w:hAnsi="Cambria Math" w:cs="Times New Roman"/>
                  <w:lang w:val="es-MX"/>
                </w:rPr>
              </m:ctrlPr>
            </m:fPr>
            <m:num>
              <m:r>
                <m:rPr>
                  <m:sty m:val="p"/>
                </m:rPr>
                <w:rPr>
                  <w:rFonts w:ascii="Cambria Math" w:hAnsi="Cambria Math" w:cs="Times New Roman"/>
                  <w:lang w:val="es-MX"/>
                </w:rPr>
                <m:t>Δ</m:t>
              </m:r>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s</m:t>
                  </m:r>
                </m:sub>
              </m:sSub>
            </m:num>
            <m:den>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0</m:t>
                  </m:r>
                </m:sub>
              </m:sSub>
            </m:den>
          </m:f>
          <m:r>
            <w:rPr>
              <w:rFonts w:ascii="Cambria Math" w:eastAsiaTheme="minorEastAsia" w:hAnsi="Cambria Math" w:cs="Times New Roman"/>
              <w:lang w:val="es-MX"/>
            </w:rPr>
            <m:t>×100</m:t>
          </m:r>
        </m:oMath>
      </m:oMathPara>
    </w:p>
    <w:p w14:paraId="0C305C29" w14:textId="77777777" w:rsidR="00956B0C" w:rsidRPr="00CB1BCD" w:rsidRDefault="00956B0C" w:rsidP="001C71C2">
      <w:pPr>
        <w:rPr>
          <w:rFonts w:cs="Times New Roman"/>
          <w:lang w:val="es-MX"/>
        </w:rPr>
      </w:pPr>
    </w:p>
    <w:p w14:paraId="6BDF4555" w14:textId="77777777" w:rsidR="00E97B70" w:rsidRPr="00CB1BCD" w:rsidRDefault="00E97B70" w:rsidP="001C71C2">
      <w:pPr>
        <w:rPr>
          <w:rFonts w:cs="Times New Roman"/>
          <w:lang w:val="es-MX"/>
        </w:rPr>
      </w:pPr>
      <w:r w:rsidRPr="00CB1BCD">
        <w:rPr>
          <w:rFonts w:cs="Times New Roman"/>
          <w:lang w:val="es-MX"/>
        </w:rPr>
        <w:t>y la recaudación potencial:</w:t>
      </w:r>
    </w:p>
    <w:p w14:paraId="6F73B0A2" w14:textId="3C01E8AB" w:rsidR="00E97B70" w:rsidRPr="00956B0C" w:rsidRDefault="00000000" w:rsidP="001C71C2">
      <w:pPr>
        <w:rPr>
          <w:rFonts w:eastAsiaTheme="minorEastAsia" w:cs="Times New Roman"/>
          <w:lang w:val="es-MX"/>
        </w:rPr>
      </w:pPr>
      <m:oMathPara>
        <m:oMath>
          <m:sSub>
            <m:sSubPr>
              <m:ctrlPr>
                <w:rPr>
                  <w:rFonts w:ascii="Cambria Math" w:hAnsi="Cambria Math" w:cs="Times New Roman"/>
                  <w:lang w:val="es-MX"/>
                </w:rPr>
              </m:ctrlPr>
            </m:sSubPr>
            <m:e>
              <m:r>
                <w:rPr>
                  <w:rFonts w:ascii="Cambria Math" w:hAnsi="Cambria Math" w:cs="Times New Roman"/>
                  <w:lang w:val="es-MX"/>
                </w:rPr>
                <m:t>R</m:t>
              </m:r>
            </m:e>
            <m:sub>
              <m:r>
                <w:rPr>
                  <w:rFonts w:ascii="Cambria Math" w:hAnsi="Cambria Math" w:cs="Times New Roman"/>
                  <w:lang w:val="es-MX"/>
                </w:rPr>
                <m:t>s</m:t>
              </m:r>
            </m:sub>
          </m:sSub>
          <m:r>
            <w:rPr>
              <w:rFonts w:ascii="Cambria Math" w:hAnsi="Cambria Math" w:cs="Times New Roman"/>
              <w:lang w:val="es-MX"/>
            </w:rPr>
            <m:t>=</m:t>
          </m:r>
          <m:sSub>
            <m:sSubPr>
              <m:ctrlPr>
                <w:rPr>
                  <w:rFonts w:ascii="Cambria Math" w:hAnsi="Cambria Math" w:cs="Times New Roman"/>
                  <w:lang w:val="es-MX"/>
                </w:rPr>
              </m:ctrlPr>
            </m:sSubPr>
            <m:e>
              <m:r>
                <w:rPr>
                  <w:rFonts w:ascii="Cambria Math" w:hAnsi="Cambria Math" w:cs="Times New Roman"/>
                  <w:lang w:val="es-MX"/>
                </w:rPr>
                <m:t>τ</m:t>
              </m:r>
            </m:e>
            <m:sub>
              <m:r>
                <w:rPr>
                  <w:rFonts w:ascii="Cambria Math" w:hAnsi="Cambria Math" w:cs="Times New Roman"/>
                  <w:lang w:val="es-MX"/>
                </w:rPr>
                <m:t>s</m:t>
              </m:r>
            </m:sub>
          </m:sSub>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s</m:t>
              </m:r>
            </m:sub>
          </m:sSub>
        </m:oMath>
      </m:oMathPara>
    </w:p>
    <w:p w14:paraId="27213F99" w14:textId="77777777" w:rsidR="00956B0C" w:rsidRPr="00CB1BCD" w:rsidRDefault="00956B0C" w:rsidP="001C71C2">
      <w:pPr>
        <w:rPr>
          <w:rFonts w:cs="Times New Roman"/>
          <w:lang w:val="es-MX"/>
        </w:rPr>
      </w:pPr>
    </w:p>
    <w:p w14:paraId="444C2020" w14:textId="15E3AA57" w:rsidR="00E97B70" w:rsidRDefault="00E97B70" w:rsidP="001C71C2">
      <w:pPr>
        <w:rPr>
          <w:rFonts w:cs="Times New Roman"/>
          <w:lang w:val="es-MX"/>
        </w:rPr>
      </w:pPr>
      <w:r w:rsidRPr="00CB1BCD">
        <w:rPr>
          <w:rFonts w:cs="Times New Roman"/>
          <w:lang w:val="es-MX"/>
        </w:rPr>
        <w:t xml:space="preserve">Cuando </w:t>
      </w:r>
      <m:oMath>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s</m:t>
            </m:r>
          </m:sub>
        </m:sSub>
      </m:oMath>
      <w:r w:rsidRPr="00CB1BCD">
        <w:rPr>
          <w:rFonts w:eastAsiaTheme="minorEastAsia" w:cs="Times New Roman"/>
          <w:lang w:val="es-MX"/>
        </w:rPr>
        <w:t xml:space="preserve"> </w:t>
      </w:r>
      <w:r w:rsidRPr="00CB1BCD">
        <w:rPr>
          <w:rFonts w:cs="Times New Roman"/>
          <w:lang w:val="es-MX"/>
        </w:rPr>
        <w:t xml:space="preserve">se expresa en millones de toneladas de CO₂ y </w:t>
      </w:r>
      <m:oMath>
        <m:sSub>
          <m:sSubPr>
            <m:ctrlPr>
              <w:rPr>
                <w:rFonts w:ascii="Cambria Math" w:hAnsi="Cambria Math" w:cs="Times New Roman"/>
                <w:lang w:val="es-MX"/>
              </w:rPr>
            </m:ctrlPr>
          </m:sSubPr>
          <m:e>
            <m:r>
              <w:rPr>
                <w:rFonts w:ascii="Cambria Math" w:hAnsi="Cambria Math" w:cs="Times New Roman"/>
                <w:lang w:val="es-MX"/>
              </w:rPr>
              <m:t>τ</m:t>
            </m:r>
          </m:e>
          <m:sub>
            <m:r>
              <w:rPr>
                <w:rFonts w:ascii="Cambria Math" w:hAnsi="Cambria Math" w:cs="Times New Roman"/>
                <w:lang w:val="es-MX"/>
              </w:rPr>
              <m:t>s</m:t>
            </m:r>
          </m:sub>
        </m:sSub>
      </m:oMath>
      <w:r w:rsidRPr="00CB1BCD">
        <w:rPr>
          <w:rFonts w:eastAsiaTheme="minorEastAsia" w:cs="Times New Roman"/>
          <w:lang w:val="es-MX"/>
        </w:rPr>
        <w:t xml:space="preserve"> </w:t>
      </w:r>
      <w:r w:rsidRPr="00CB1BCD">
        <w:rPr>
          <w:rFonts w:cs="Times New Roman"/>
          <w:lang w:val="es-MX"/>
        </w:rPr>
        <w:t>en dólares por tonelada</w:t>
      </w:r>
      <w:r w:rsidR="00E717A8" w:rsidRPr="00CB1BCD">
        <w:rPr>
          <w:rFonts w:cs="Times New Roman"/>
          <w:lang w:val="es-MX"/>
        </w:rPr>
        <w:t xml:space="preserve"> de CO</w:t>
      </w:r>
      <w:r w:rsidR="00E717A8" w:rsidRPr="00CB1BCD">
        <w:rPr>
          <w:rFonts w:cs="Times New Roman"/>
          <w:vertAlign w:val="subscript"/>
          <w:lang w:val="es-MX"/>
        </w:rPr>
        <w:t>2</w:t>
      </w:r>
      <w:r w:rsidRPr="00CB1BCD">
        <w:rPr>
          <w:rFonts w:cs="Times New Roman"/>
          <w:lang w:val="es-MX"/>
        </w:rPr>
        <w:t xml:space="preserve">, </w:t>
      </w:r>
      <w:r w:rsidR="00E717A8" w:rsidRPr="00CB1BCD">
        <w:rPr>
          <w:rFonts w:cs="Times New Roman"/>
          <w:lang w:val="es-MX"/>
        </w:rPr>
        <w:t xml:space="preserve">la recaudación potencial </w:t>
      </w:r>
      <m:oMath>
        <m:sSub>
          <m:sSubPr>
            <m:ctrlPr>
              <w:rPr>
                <w:rFonts w:ascii="Cambria Math" w:hAnsi="Cambria Math" w:cs="Times New Roman"/>
                <w:lang w:val="es-MX"/>
              </w:rPr>
            </m:ctrlPr>
          </m:sSubPr>
          <m:e>
            <m:r>
              <w:rPr>
                <w:rFonts w:ascii="Cambria Math" w:hAnsi="Cambria Math" w:cs="Times New Roman"/>
                <w:lang w:val="es-MX"/>
              </w:rPr>
              <m:t>R</m:t>
            </m:r>
          </m:e>
          <m:sub>
            <m:r>
              <w:rPr>
                <w:rFonts w:ascii="Cambria Math" w:hAnsi="Cambria Math" w:cs="Times New Roman"/>
                <w:lang w:val="es-MX"/>
              </w:rPr>
              <m:t>s</m:t>
            </m:r>
          </m:sub>
        </m:sSub>
      </m:oMath>
      <w:r w:rsidRPr="00CB1BCD">
        <w:rPr>
          <w:rFonts w:eastAsiaTheme="minorEastAsia" w:cs="Times New Roman"/>
          <w:lang w:val="es-MX"/>
        </w:rPr>
        <w:t xml:space="preserve"> </w:t>
      </w:r>
      <w:r w:rsidRPr="00CB1BCD">
        <w:rPr>
          <w:rFonts w:cs="Times New Roman"/>
          <w:lang w:val="es-MX"/>
        </w:rPr>
        <w:t>queda expresada en millones de dólares estadounidenses.</w:t>
      </w:r>
    </w:p>
    <w:p w14:paraId="0B580D84" w14:textId="77777777" w:rsidR="00956B0C" w:rsidRPr="00CB1BCD" w:rsidRDefault="00956B0C" w:rsidP="001C71C2">
      <w:pPr>
        <w:rPr>
          <w:rFonts w:cs="Times New Roman"/>
          <w:lang w:val="es-MX"/>
        </w:rPr>
      </w:pPr>
    </w:p>
    <w:p w14:paraId="37794D68" w14:textId="5A0A873F" w:rsidR="00E97B70" w:rsidRDefault="00E97B70" w:rsidP="001C71C2">
      <w:pPr>
        <w:rPr>
          <w:rFonts w:cs="Times New Roman"/>
          <w:lang w:val="es-MX"/>
        </w:rPr>
      </w:pPr>
      <w:r w:rsidRPr="00CB1BCD">
        <w:rPr>
          <w:rFonts w:cs="Times New Roman"/>
          <w:lang w:val="es-MX"/>
        </w:rPr>
        <w:t>El bienestar parcial se calculó a partir del beneficio ambiental por emisiones evitadas y del costo económico aproximado del abatimiento</w:t>
      </w:r>
      <w:r w:rsidR="00E717A8" w:rsidRPr="00CB1BCD">
        <w:rPr>
          <w:rStyle w:val="Refdenotaalpie"/>
          <w:rFonts w:cs="Times New Roman"/>
          <w:lang w:val="es-MX"/>
        </w:rPr>
        <w:footnoteReference w:id="3"/>
      </w:r>
      <w:r w:rsidRPr="00CB1BCD">
        <w:rPr>
          <w:rFonts w:cs="Times New Roman"/>
          <w:lang w:val="es-MX"/>
        </w:rPr>
        <w:t>. El beneficio ambiental se estimó como:</w:t>
      </w:r>
    </w:p>
    <w:p w14:paraId="63BC3F15" w14:textId="77777777" w:rsidR="00956B0C" w:rsidRPr="00CB1BCD" w:rsidRDefault="00956B0C" w:rsidP="001C71C2">
      <w:pPr>
        <w:rPr>
          <w:rFonts w:cs="Times New Roman"/>
          <w:lang w:val="es-MX"/>
        </w:rPr>
      </w:pPr>
    </w:p>
    <w:p w14:paraId="439B6A32" w14:textId="4B4FE608" w:rsidR="00E97B70" w:rsidRPr="00956B0C" w:rsidRDefault="00E97B70" w:rsidP="001C71C2">
      <w:pPr>
        <w:rPr>
          <w:rFonts w:eastAsiaTheme="minorEastAsia" w:cs="Times New Roman"/>
          <w:lang w:val="es-MX"/>
        </w:rPr>
      </w:pPr>
      <m:oMathPara>
        <m:oMath>
          <m:r>
            <w:rPr>
              <w:rFonts w:ascii="Cambria Math" w:hAnsi="Cambria Math" w:cs="Times New Roman"/>
              <w:lang w:val="es-MX"/>
            </w:rPr>
            <m:t>B</m:t>
          </m:r>
          <m:sSub>
            <m:sSubPr>
              <m:ctrlPr>
                <w:rPr>
                  <w:rFonts w:ascii="Cambria Math" w:hAnsi="Cambria Math" w:cs="Times New Roman"/>
                  <w:lang w:val="es-MX"/>
                </w:rPr>
              </m:ctrlPr>
            </m:sSubPr>
            <m:e>
              <m:r>
                <w:rPr>
                  <w:rFonts w:ascii="Cambria Math" w:hAnsi="Cambria Math" w:cs="Times New Roman"/>
                  <w:lang w:val="es-MX"/>
                </w:rPr>
                <m:t>A</m:t>
              </m:r>
            </m:e>
            <m:sub>
              <m:r>
                <w:rPr>
                  <w:rFonts w:ascii="Cambria Math" w:hAnsi="Cambria Math" w:cs="Times New Roman"/>
                  <w:lang w:val="es-MX"/>
                </w:rPr>
                <m:t>s</m:t>
              </m:r>
            </m:sub>
          </m:sSub>
          <m:r>
            <w:rPr>
              <w:rFonts w:ascii="Cambria Math" w:hAnsi="Cambria Math" w:cs="Times New Roman"/>
              <w:lang w:val="es-MX"/>
            </w:rPr>
            <m:t>=</m:t>
          </m:r>
          <m:r>
            <m:rPr>
              <m:sty m:val="p"/>
            </m:rPr>
            <w:rPr>
              <w:rFonts w:ascii="Cambria Math" w:hAnsi="Cambria Math" w:cs="Times New Roman"/>
              <w:lang w:val="es-MX"/>
            </w:rPr>
            <m:t>Δ</m:t>
          </m:r>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s</m:t>
              </m:r>
            </m:sub>
          </m:sSub>
          <m:r>
            <w:rPr>
              <w:rFonts w:ascii="Cambria Math" w:hAnsi="Cambria Math" w:cs="Times New Roman"/>
              <w:lang w:val="es-MX"/>
            </w:rPr>
            <m:t>⋅CSC</m:t>
          </m:r>
        </m:oMath>
      </m:oMathPara>
    </w:p>
    <w:p w14:paraId="1B049CAA" w14:textId="77777777" w:rsidR="00956B0C" w:rsidRPr="00CB1BCD" w:rsidRDefault="00956B0C" w:rsidP="001C71C2">
      <w:pPr>
        <w:rPr>
          <w:rFonts w:cs="Times New Roman"/>
          <w:lang w:val="es-MX"/>
        </w:rPr>
      </w:pPr>
    </w:p>
    <w:p w14:paraId="3C45CAB8" w14:textId="6AF36EEF" w:rsidR="00E97B70" w:rsidRDefault="00E97B70" w:rsidP="001C71C2">
      <w:pPr>
        <w:rPr>
          <w:rFonts w:cs="Times New Roman"/>
          <w:lang w:val="es-MX"/>
        </w:rPr>
      </w:pPr>
      <w:r w:rsidRPr="00CB1BCD">
        <w:rPr>
          <w:rFonts w:cs="Times New Roman"/>
          <w:lang w:val="es-MX"/>
        </w:rPr>
        <w:t xml:space="preserve">donde </w:t>
      </w:r>
      <m:oMath>
        <m:r>
          <w:rPr>
            <w:rFonts w:ascii="Cambria Math" w:hAnsi="Cambria Math" w:cs="Times New Roman"/>
            <w:lang w:val="es-MX"/>
          </w:rPr>
          <m:t>CSC</m:t>
        </m:r>
      </m:oMath>
      <w:r w:rsidRPr="00CB1BCD">
        <w:rPr>
          <w:rFonts w:eastAsiaTheme="minorEastAsia" w:cs="Times New Roman"/>
          <w:lang w:val="es-MX"/>
        </w:rPr>
        <w:t xml:space="preserve"> </w:t>
      </w:r>
      <w:r w:rsidRPr="00CB1BCD">
        <w:rPr>
          <w:rFonts w:cs="Times New Roman"/>
          <w:lang w:val="es-MX"/>
        </w:rPr>
        <w:t>representa el costo social del carbono</w:t>
      </w:r>
      <w:r w:rsidR="003D1894" w:rsidRPr="00CB1BCD">
        <w:rPr>
          <w:rFonts w:cs="Times New Roman"/>
          <w:lang w:val="es-MX"/>
        </w:rPr>
        <w:t xml:space="preserve"> utilizado como parámetro de referencia</w:t>
      </w:r>
      <w:r w:rsidRPr="00CB1BCD">
        <w:rPr>
          <w:rFonts w:cs="Times New Roman"/>
          <w:lang w:val="es-MX"/>
        </w:rPr>
        <w:t xml:space="preserve">. Para los resultados centrales se utilizó </w:t>
      </w:r>
      <m:oMath>
        <m:r>
          <w:rPr>
            <w:rFonts w:ascii="Cambria Math" w:hAnsi="Cambria Math" w:cs="Times New Roman"/>
            <w:lang w:val="es-MX"/>
          </w:rPr>
          <m:t>CSC=75</m:t>
        </m:r>
      </m:oMath>
      <w:r w:rsidR="00F66494" w:rsidRPr="00CB1BCD">
        <w:rPr>
          <w:rFonts w:eastAsiaTheme="minorEastAsia" w:cs="Times New Roman"/>
          <w:lang w:val="es-MX"/>
        </w:rPr>
        <w:t xml:space="preserve"> </w:t>
      </w:r>
      <w:r w:rsidRPr="00CB1BCD">
        <w:rPr>
          <w:rFonts w:cs="Times New Roman"/>
          <w:lang w:val="es-MX"/>
        </w:rPr>
        <w:t>USD/tCO₂</w:t>
      </w:r>
      <w:r w:rsidR="00F66494" w:rsidRPr="00CB1BCD">
        <w:rPr>
          <w:rFonts w:cs="Times New Roman"/>
          <w:lang w:val="es-MX"/>
        </w:rPr>
        <w:t>. Este valor se adoptó para monetizar las emisiones evitadas dentro del ejercicio de simulación,</w:t>
      </w:r>
      <w:r w:rsidRPr="00CB1BCD">
        <w:rPr>
          <w:rFonts w:cs="Times New Roman"/>
          <w:lang w:val="es-MX"/>
        </w:rPr>
        <w:t xml:space="preserve"> manten</w:t>
      </w:r>
      <w:r w:rsidR="00F66494" w:rsidRPr="00CB1BCD">
        <w:rPr>
          <w:rFonts w:cs="Times New Roman"/>
          <w:lang w:val="es-MX"/>
        </w:rPr>
        <w:t>iendo</w:t>
      </w:r>
      <w:r w:rsidRPr="00CB1BCD">
        <w:rPr>
          <w:rFonts w:cs="Times New Roman"/>
          <w:lang w:val="es-MX"/>
        </w:rPr>
        <w:t xml:space="preserve"> co</w:t>
      </w:r>
      <w:r w:rsidR="00F66494" w:rsidRPr="00CB1BCD">
        <w:rPr>
          <w:rFonts w:cs="Times New Roman"/>
          <w:lang w:val="es-MX"/>
        </w:rPr>
        <w:t>rrespondencia</w:t>
      </w:r>
      <w:r w:rsidRPr="00CB1BCD">
        <w:rPr>
          <w:rFonts w:cs="Times New Roman"/>
          <w:lang w:val="es-MX"/>
        </w:rPr>
        <w:t xml:space="preserve"> con el escenario </w:t>
      </w:r>
      <w:r w:rsidR="00F66494" w:rsidRPr="00CB1BCD">
        <w:rPr>
          <w:rFonts w:cs="Times New Roman"/>
          <w:lang w:val="es-MX"/>
        </w:rPr>
        <w:t>ancla</w:t>
      </w:r>
      <w:r w:rsidRPr="00CB1BCD">
        <w:rPr>
          <w:rFonts w:cs="Times New Roman"/>
          <w:lang w:val="es-MX"/>
        </w:rPr>
        <w:t xml:space="preserve"> de precio al carbono.</w:t>
      </w:r>
    </w:p>
    <w:p w14:paraId="25751893" w14:textId="77777777" w:rsidR="00956B0C" w:rsidRPr="00CB1BCD" w:rsidRDefault="00956B0C" w:rsidP="001C71C2">
      <w:pPr>
        <w:rPr>
          <w:rFonts w:cs="Times New Roman"/>
          <w:lang w:val="es-MX"/>
        </w:rPr>
      </w:pPr>
    </w:p>
    <w:p w14:paraId="5C7EC46B" w14:textId="77777777" w:rsidR="00E97B70" w:rsidRPr="00CB1BCD" w:rsidRDefault="00E97B70" w:rsidP="001C71C2">
      <w:pPr>
        <w:rPr>
          <w:rFonts w:cs="Times New Roman"/>
          <w:lang w:val="es-MX"/>
        </w:rPr>
      </w:pPr>
      <w:r w:rsidRPr="00CB1BCD">
        <w:rPr>
          <w:rFonts w:cs="Times New Roman"/>
          <w:lang w:val="es-MX"/>
        </w:rPr>
        <w:t>El costo económico aproximado del abatimiento se calculó mediante una aproximación triangular:</w:t>
      </w:r>
    </w:p>
    <w:p w14:paraId="064212F8" w14:textId="3E309C13" w:rsidR="00E97B70" w:rsidRPr="00956B0C" w:rsidRDefault="00E97B70" w:rsidP="001C71C2">
      <w:pPr>
        <w:rPr>
          <w:rFonts w:eastAsiaTheme="minorEastAsia" w:cs="Times New Roman"/>
          <w:lang w:val="es-MX"/>
        </w:rPr>
      </w:pPr>
      <m:oMathPara>
        <m:oMath>
          <m:r>
            <w:rPr>
              <w:rFonts w:ascii="Cambria Math" w:hAnsi="Cambria Math" w:cs="Times New Roman"/>
              <w:lang w:val="es-MX"/>
            </w:rPr>
            <m:t>C</m:t>
          </m:r>
          <m:sSub>
            <m:sSubPr>
              <m:ctrlPr>
                <w:rPr>
                  <w:rFonts w:ascii="Cambria Math" w:hAnsi="Cambria Math" w:cs="Times New Roman"/>
                  <w:lang w:val="es-MX"/>
                </w:rPr>
              </m:ctrlPr>
            </m:sSubPr>
            <m:e>
              <m:r>
                <w:rPr>
                  <w:rFonts w:ascii="Cambria Math" w:hAnsi="Cambria Math" w:cs="Times New Roman"/>
                  <w:lang w:val="es-MX"/>
                </w:rPr>
                <m:t>A</m:t>
              </m:r>
            </m:e>
            <m:sub>
              <m:r>
                <w:rPr>
                  <w:rFonts w:ascii="Cambria Math" w:hAnsi="Cambria Math" w:cs="Times New Roman"/>
                  <w:lang w:val="es-MX"/>
                </w:rPr>
                <m:t>s</m:t>
              </m:r>
            </m:sub>
          </m:sSub>
          <m:r>
            <w:rPr>
              <w:rFonts w:ascii="Cambria Math" w:hAnsi="Cambria Math" w:cs="Times New Roman"/>
              <w:lang w:val="es-MX"/>
            </w:rPr>
            <m:t>=</m:t>
          </m:r>
          <m:f>
            <m:fPr>
              <m:ctrlPr>
                <w:rPr>
                  <w:rFonts w:ascii="Cambria Math" w:hAnsi="Cambria Math" w:cs="Times New Roman"/>
                  <w:lang w:val="es-MX"/>
                </w:rPr>
              </m:ctrlPr>
            </m:fPr>
            <m:num>
              <m:r>
                <w:rPr>
                  <w:rFonts w:ascii="Cambria Math" w:hAnsi="Cambria Math" w:cs="Times New Roman"/>
                  <w:lang w:val="es-MX"/>
                </w:rPr>
                <m:t>1</m:t>
              </m:r>
            </m:num>
            <m:den>
              <m:r>
                <w:rPr>
                  <w:rFonts w:ascii="Cambria Math" w:hAnsi="Cambria Math" w:cs="Times New Roman"/>
                  <w:lang w:val="es-MX"/>
                </w:rPr>
                <m:t>2</m:t>
              </m:r>
            </m:den>
          </m:f>
          <m:sSub>
            <m:sSubPr>
              <m:ctrlPr>
                <w:rPr>
                  <w:rFonts w:ascii="Cambria Math" w:hAnsi="Cambria Math" w:cs="Times New Roman"/>
                  <w:lang w:val="es-MX"/>
                </w:rPr>
              </m:ctrlPr>
            </m:sSubPr>
            <m:e>
              <m:r>
                <w:rPr>
                  <w:rFonts w:ascii="Cambria Math" w:hAnsi="Cambria Math" w:cs="Times New Roman"/>
                  <w:lang w:val="es-MX"/>
                </w:rPr>
                <m:t>τ</m:t>
              </m:r>
            </m:e>
            <m:sub>
              <m:r>
                <w:rPr>
                  <w:rFonts w:ascii="Cambria Math" w:hAnsi="Cambria Math" w:cs="Times New Roman"/>
                  <w:lang w:val="es-MX"/>
                </w:rPr>
                <m:t>s</m:t>
              </m:r>
            </m:sub>
          </m:sSub>
          <m:r>
            <m:rPr>
              <m:sty m:val="p"/>
            </m:rPr>
            <w:rPr>
              <w:rFonts w:ascii="Cambria Math" w:hAnsi="Cambria Math" w:cs="Times New Roman"/>
              <w:lang w:val="es-MX"/>
            </w:rPr>
            <m:t>Δ</m:t>
          </m:r>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s</m:t>
              </m:r>
            </m:sub>
          </m:sSub>
        </m:oMath>
      </m:oMathPara>
    </w:p>
    <w:p w14:paraId="62AB2C6D" w14:textId="77777777" w:rsidR="00956B0C" w:rsidRPr="00CB1BCD" w:rsidRDefault="00956B0C" w:rsidP="001C71C2">
      <w:pPr>
        <w:rPr>
          <w:rFonts w:cs="Times New Roman"/>
          <w:lang w:val="es-MX"/>
        </w:rPr>
      </w:pPr>
    </w:p>
    <w:p w14:paraId="2FDE5C42" w14:textId="793F993A" w:rsidR="00E97B70" w:rsidRDefault="00E97B70" w:rsidP="001C71C2">
      <w:pPr>
        <w:rPr>
          <w:rFonts w:cs="Times New Roman"/>
          <w:lang w:val="es-MX"/>
        </w:rPr>
      </w:pPr>
      <w:r w:rsidRPr="00CB1BCD">
        <w:rPr>
          <w:rFonts w:cs="Times New Roman"/>
          <w:lang w:val="es-MX"/>
        </w:rPr>
        <w:t>Esta expresión se empleó como medida parsimoniosa del costo de reducir emisiones bajo una curva marginal de abatimiento lineal</w:t>
      </w:r>
      <w:r w:rsidR="00F819F0" w:rsidRPr="00CB1BCD">
        <w:rPr>
          <w:rFonts w:cs="Times New Roman"/>
          <w:lang w:val="es-MX"/>
        </w:rPr>
        <w:t xml:space="preserve"> desde cero hasta el precio al carbono correspondiente</w:t>
      </w:r>
      <w:r w:rsidRPr="00CB1BCD">
        <w:rPr>
          <w:rFonts w:cs="Times New Roman"/>
          <w:lang w:val="es-MX"/>
        </w:rPr>
        <w:t>. En consecuencia, el bienestar parcial sin reciclaje de ingresos se definió como:</w:t>
      </w:r>
    </w:p>
    <w:p w14:paraId="76A72CF1" w14:textId="77777777" w:rsidR="00956B0C" w:rsidRPr="00CB1BCD" w:rsidRDefault="00956B0C" w:rsidP="001C71C2">
      <w:pPr>
        <w:rPr>
          <w:rFonts w:cs="Times New Roman"/>
          <w:lang w:val="es-MX"/>
        </w:rPr>
      </w:pPr>
    </w:p>
    <w:p w14:paraId="0086113E" w14:textId="67216894" w:rsidR="00E97B70" w:rsidRPr="00956B0C" w:rsidRDefault="00E97B70" w:rsidP="001C71C2">
      <w:pPr>
        <w:rPr>
          <w:rFonts w:eastAsiaTheme="minorEastAsia" w:cs="Times New Roman"/>
          <w:lang w:val="es-MX"/>
        </w:rPr>
      </w:pPr>
      <m:oMathPara>
        <m:oMath>
          <m:r>
            <m:rPr>
              <m:sty m:val="p"/>
            </m:rPr>
            <w:rPr>
              <w:rFonts w:ascii="Cambria Math" w:hAnsi="Cambria Math" w:cs="Times New Roman"/>
              <w:lang w:val="es-MX"/>
            </w:rPr>
            <m:t>Δ</m:t>
          </m:r>
          <m:sSub>
            <m:sSubPr>
              <m:ctrlPr>
                <w:rPr>
                  <w:rFonts w:ascii="Cambria Math" w:hAnsi="Cambria Math" w:cs="Times New Roman"/>
                  <w:lang w:val="es-MX"/>
                </w:rPr>
              </m:ctrlPr>
            </m:sSubPr>
            <m:e>
              <m:r>
                <w:rPr>
                  <w:rFonts w:ascii="Cambria Math" w:hAnsi="Cambria Math" w:cs="Times New Roman"/>
                  <w:lang w:val="es-MX"/>
                </w:rPr>
                <m:t>W</m:t>
              </m:r>
            </m:e>
            <m:sub>
              <m:r>
                <w:rPr>
                  <w:rFonts w:ascii="Cambria Math" w:hAnsi="Cambria Math" w:cs="Times New Roman"/>
                  <w:lang w:val="es-MX"/>
                </w:rPr>
                <m:t>s</m:t>
              </m:r>
            </m:sub>
          </m:sSub>
          <m:r>
            <w:rPr>
              <w:rFonts w:ascii="Cambria Math" w:hAnsi="Cambria Math" w:cs="Times New Roman"/>
              <w:lang w:val="es-MX"/>
            </w:rPr>
            <m:t>=B</m:t>
          </m:r>
          <m:sSub>
            <m:sSubPr>
              <m:ctrlPr>
                <w:rPr>
                  <w:rFonts w:ascii="Cambria Math" w:hAnsi="Cambria Math" w:cs="Times New Roman"/>
                  <w:lang w:val="es-MX"/>
                </w:rPr>
              </m:ctrlPr>
            </m:sSubPr>
            <m:e>
              <m:r>
                <w:rPr>
                  <w:rFonts w:ascii="Cambria Math" w:hAnsi="Cambria Math" w:cs="Times New Roman"/>
                  <w:lang w:val="es-MX"/>
                </w:rPr>
                <m:t>A</m:t>
              </m:r>
            </m:e>
            <m:sub>
              <m:r>
                <w:rPr>
                  <w:rFonts w:ascii="Cambria Math" w:hAnsi="Cambria Math" w:cs="Times New Roman"/>
                  <w:lang w:val="es-MX"/>
                </w:rPr>
                <m:t>s</m:t>
              </m:r>
            </m:sub>
          </m:sSub>
          <m:r>
            <w:rPr>
              <w:rFonts w:ascii="Cambria Math" w:hAnsi="Cambria Math" w:cs="Times New Roman"/>
              <w:lang w:val="es-MX"/>
            </w:rPr>
            <m:t>-C</m:t>
          </m:r>
          <m:sSub>
            <m:sSubPr>
              <m:ctrlPr>
                <w:rPr>
                  <w:rFonts w:ascii="Cambria Math" w:hAnsi="Cambria Math" w:cs="Times New Roman"/>
                  <w:lang w:val="es-MX"/>
                </w:rPr>
              </m:ctrlPr>
            </m:sSubPr>
            <m:e>
              <m:r>
                <w:rPr>
                  <w:rFonts w:ascii="Cambria Math" w:hAnsi="Cambria Math" w:cs="Times New Roman"/>
                  <w:lang w:val="es-MX"/>
                </w:rPr>
                <m:t>A</m:t>
              </m:r>
            </m:e>
            <m:sub>
              <m:r>
                <w:rPr>
                  <w:rFonts w:ascii="Cambria Math" w:hAnsi="Cambria Math" w:cs="Times New Roman"/>
                  <w:lang w:val="es-MX"/>
                </w:rPr>
                <m:t>s</m:t>
              </m:r>
            </m:sub>
          </m:sSub>
        </m:oMath>
      </m:oMathPara>
    </w:p>
    <w:p w14:paraId="32503305" w14:textId="77777777" w:rsidR="00E97B70" w:rsidRDefault="00E97B70" w:rsidP="001C71C2">
      <w:pPr>
        <w:rPr>
          <w:rFonts w:cs="Times New Roman"/>
          <w:lang w:val="es-MX"/>
        </w:rPr>
      </w:pPr>
      <w:r w:rsidRPr="00CB1BCD">
        <w:rPr>
          <w:rFonts w:cs="Times New Roman"/>
          <w:lang w:val="es-MX"/>
        </w:rPr>
        <w:t>De manera complementaria, se incorporó el reciclaje de ingresos mediante la expresión:</w:t>
      </w:r>
    </w:p>
    <w:p w14:paraId="3B6DEC9A" w14:textId="77777777" w:rsidR="00956B0C" w:rsidRPr="00CB1BCD" w:rsidRDefault="00956B0C" w:rsidP="001C71C2">
      <w:pPr>
        <w:rPr>
          <w:rFonts w:cs="Times New Roman"/>
          <w:lang w:val="es-MX"/>
        </w:rPr>
      </w:pPr>
    </w:p>
    <w:p w14:paraId="49C202D6" w14:textId="07B5ECAE" w:rsidR="00E97B70" w:rsidRPr="00956B0C" w:rsidRDefault="00E97B70" w:rsidP="001C71C2">
      <w:pPr>
        <w:rPr>
          <w:rFonts w:eastAsiaTheme="minorEastAsia" w:cs="Times New Roman"/>
          <w:lang w:val="es-MX"/>
        </w:rPr>
      </w:pPr>
      <m:oMathPara>
        <m:oMath>
          <m:r>
            <m:rPr>
              <m:sty m:val="p"/>
            </m:rPr>
            <w:rPr>
              <w:rFonts w:ascii="Cambria Math" w:hAnsi="Cambria Math" w:cs="Times New Roman"/>
              <w:lang w:val="es-MX"/>
            </w:rPr>
            <m:t>Δ</m:t>
          </m:r>
          <m:sSub>
            <m:sSubPr>
              <m:ctrlPr>
                <w:rPr>
                  <w:rFonts w:ascii="Cambria Math" w:hAnsi="Cambria Math" w:cs="Times New Roman"/>
                  <w:lang w:val="es-MX"/>
                </w:rPr>
              </m:ctrlPr>
            </m:sSubPr>
            <m:e>
              <m:r>
                <w:rPr>
                  <w:rFonts w:ascii="Cambria Math" w:hAnsi="Cambria Math" w:cs="Times New Roman"/>
                  <w:lang w:val="es-MX"/>
                </w:rPr>
                <m:t>W</m:t>
              </m:r>
            </m:e>
            <m:sub>
              <m:r>
                <w:rPr>
                  <w:rFonts w:ascii="Cambria Math" w:hAnsi="Cambria Math" w:cs="Times New Roman"/>
                  <w:lang w:val="es-MX"/>
                </w:rPr>
                <m:t>s</m:t>
              </m:r>
            </m:sub>
          </m:sSub>
          <m:r>
            <w:rPr>
              <w:rFonts w:ascii="Cambria Math" w:hAnsi="Cambria Math" w:cs="Times New Roman"/>
              <w:lang w:val="es-MX"/>
            </w:rPr>
            <m:t>=B</m:t>
          </m:r>
          <m:sSub>
            <m:sSubPr>
              <m:ctrlPr>
                <w:rPr>
                  <w:rFonts w:ascii="Cambria Math" w:hAnsi="Cambria Math" w:cs="Times New Roman"/>
                  <w:lang w:val="es-MX"/>
                </w:rPr>
              </m:ctrlPr>
            </m:sSubPr>
            <m:e>
              <m:r>
                <w:rPr>
                  <w:rFonts w:ascii="Cambria Math" w:hAnsi="Cambria Math" w:cs="Times New Roman"/>
                  <w:lang w:val="es-MX"/>
                </w:rPr>
                <m:t>A</m:t>
              </m:r>
            </m:e>
            <m:sub>
              <m:r>
                <w:rPr>
                  <w:rFonts w:ascii="Cambria Math" w:hAnsi="Cambria Math" w:cs="Times New Roman"/>
                  <w:lang w:val="es-MX"/>
                </w:rPr>
                <m:t>s</m:t>
              </m:r>
            </m:sub>
          </m:sSub>
          <m:r>
            <w:rPr>
              <w:rFonts w:ascii="Cambria Math" w:hAnsi="Cambria Math" w:cs="Times New Roman"/>
              <w:lang w:val="es-MX"/>
            </w:rPr>
            <m:t>+ρ</m:t>
          </m:r>
          <m:sSub>
            <m:sSubPr>
              <m:ctrlPr>
                <w:rPr>
                  <w:rFonts w:ascii="Cambria Math" w:hAnsi="Cambria Math" w:cs="Times New Roman"/>
                  <w:lang w:val="es-MX"/>
                </w:rPr>
              </m:ctrlPr>
            </m:sSubPr>
            <m:e>
              <m:r>
                <w:rPr>
                  <w:rFonts w:ascii="Cambria Math" w:hAnsi="Cambria Math" w:cs="Times New Roman"/>
                  <w:lang w:val="es-MX"/>
                </w:rPr>
                <m:t>R</m:t>
              </m:r>
            </m:e>
            <m:sub>
              <m:r>
                <w:rPr>
                  <w:rFonts w:ascii="Cambria Math" w:hAnsi="Cambria Math" w:cs="Times New Roman"/>
                  <w:lang w:val="es-MX"/>
                </w:rPr>
                <m:t>s</m:t>
              </m:r>
            </m:sub>
          </m:sSub>
          <m:r>
            <w:rPr>
              <w:rFonts w:ascii="Cambria Math" w:hAnsi="Cambria Math" w:cs="Times New Roman"/>
              <w:lang w:val="es-MX"/>
            </w:rPr>
            <m:t>-C</m:t>
          </m:r>
          <m:sSub>
            <m:sSubPr>
              <m:ctrlPr>
                <w:rPr>
                  <w:rFonts w:ascii="Cambria Math" w:hAnsi="Cambria Math" w:cs="Times New Roman"/>
                  <w:lang w:val="es-MX"/>
                </w:rPr>
              </m:ctrlPr>
            </m:sSubPr>
            <m:e>
              <m:r>
                <w:rPr>
                  <w:rFonts w:ascii="Cambria Math" w:hAnsi="Cambria Math" w:cs="Times New Roman"/>
                  <w:lang w:val="es-MX"/>
                </w:rPr>
                <m:t>A</m:t>
              </m:r>
            </m:e>
            <m:sub>
              <m:r>
                <w:rPr>
                  <w:rFonts w:ascii="Cambria Math" w:hAnsi="Cambria Math" w:cs="Times New Roman"/>
                  <w:lang w:val="es-MX"/>
                </w:rPr>
                <m:t>s</m:t>
              </m:r>
            </m:sub>
          </m:sSub>
        </m:oMath>
      </m:oMathPara>
    </w:p>
    <w:p w14:paraId="3040FD95" w14:textId="77777777" w:rsidR="00956B0C" w:rsidRPr="00CB1BCD" w:rsidRDefault="00956B0C" w:rsidP="001C71C2">
      <w:pPr>
        <w:rPr>
          <w:rFonts w:cs="Times New Roman"/>
          <w:lang w:val="es-MX"/>
        </w:rPr>
      </w:pPr>
    </w:p>
    <w:p w14:paraId="32F39DAD" w14:textId="12F1B349" w:rsidR="00E97B70" w:rsidRDefault="00E97B70" w:rsidP="001C71C2">
      <w:pPr>
        <w:rPr>
          <w:rFonts w:cs="Times New Roman"/>
          <w:lang w:val="es-MX"/>
        </w:rPr>
      </w:pPr>
      <w:r w:rsidRPr="00CB1BCD">
        <w:rPr>
          <w:rFonts w:cs="Times New Roman"/>
          <w:lang w:val="es-MX"/>
        </w:rPr>
        <w:t xml:space="preserve">donde </w:t>
      </w:r>
      <m:oMath>
        <m:r>
          <w:rPr>
            <w:rFonts w:ascii="Cambria Math" w:hAnsi="Cambria Math" w:cs="Times New Roman"/>
            <w:lang w:val="es-MX"/>
          </w:rPr>
          <m:t>ρ</m:t>
        </m:r>
      </m:oMath>
      <w:r w:rsidR="00F819F0" w:rsidRPr="00CB1BCD">
        <w:rPr>
          <w:rFonts w:eastAsiaTheme="minorEastAsia" w:cs="Times New Roman"/>
          <w:lang w:val="es-MX"/>
        </w:rPr>
        <w:t xml:space="preserve"> </w:t>
      </w:r>
      <w:r w:rsidRPr="00CB1BCD">
        <w:rPr>
          <w:rFonts w:cs="Times New Roman"/>
          <w:lang w:val="es-MX"/>
        </w:rPr>
        <w:t xml:space="preserve">representa </w:t>
      </w:r>
      <w:r w:rsidR="00F819F0" w:rsidRPr="00CB1BCD">
        <w:rPr>
          <w:rFonts w:cs="Times New Roman"/>
          <w:lang w:val="es-MX"/>
        </w:rPr>
        <w:t>el coeficiente de reciclaje efectivo de la recaudación</w:t>
      </w:r>
      <w:r w:rsidRPr="00CB1BCD">
        <w:rPr>
          <w:rFonts w:cs="Times New Roman"/>
          <w:lang w:val="es-MX"/>
        </w:rPr>
        <w:t xml:space="preserve">. </w:t>
      </w:r>
      <w:r w:rsidR="00FB5832" w:rsidRPr="00CB1BCD">
        <w:rPr>
          <w:rFonts w:cs="Times New Roman"/>
          <w:lang w:val="es-MX"/>
        </w:rPr>
        <w:t xml:space="preserve">Este coeficiente aproxima la proporción de ingresos que retorna al bienestar mediante compensaciones, reducción de impuestos distorsionantes o inversión ambiental dentro de los escenarios simulados. </w:t>
      </w:r>
      <w:r w:rsidRPr="00CB1BCD">
        <w:rPr>
          <w:rFonts w:cs="Times New Roman"/>
          <w:lang w:val="es-MX"/>
        </w:rPr>
        <w:t xml:space="preserve">Se evaluaron cuatro valores: </w:t>
      </w:r>
      <m:oMath>
        <m:r>
          <w:rPr>
            <w:rFonts w:ascii="Cambria Math" w:hAnsi="Cambria Math" w:cs="Times New Roman"/>
            <w:lang w:val="es-MX"/>
          </w:rPr>
          <m:t>ρ=0</m:t>
        </m:r>
      </m:oMath>
      <w:r w:rsidRPr="00CB1BCD">
        <w:rPr>
          <w:rFonts w:cs="Times New Roman"/>
          <w:lang w:val="es-MX"/>
        </w:rPr>
        <w:t xml:space="preserve">, </w:t>
      </w:r>
      <m:oMath>
        <m:r>
          <w:rPr>
            <w:rFonts w:ascii="Cambria Math" w:hAnsi="Cambria Math" w:cs="Times New Roman"/>
            <w:lang w:val="es-MX"/>
          </w:rPr>
          <m:t>ρ=0.25</m:t>
        </m:r>
      </m:oMath>
      <w:r w:rsidRPr="00CB1BCD">
        <w:rPr>
          <w:rFonts w:cs="Times New Roman"/>
          <w:lang w:val="es-MX"/>
        </w:rPr>
        <w:t xml:space="preserve">, </w:t>
      </w:r>
      <m:oMath>
        <m:r>
          <w:rPr>
            <w:rFonts w:ascii="Cambria Math" w:hAnsi="Cambria Math" w:cs="Times New Roman"/>
            <w:lang w:val="es-MX"/>
          </w:rPr>
          <m:t>ρ=0.50</m:t>
        </m:r>
      </m:oMath>
      <w:r w:rsidRPr="00CB1BCD">
        <w:rPr>
          <w:rFonts w:eastAsiaTheme="minorEastAsia" w:cs="Times New Roman"/>
          <w:lang w:val="es-MX"/>
        </w:rPr>
        <w:t xml:space="preserve"> </w:t>
      </w:r>
      <w:r w:rsidRPr="00CB1BCD">
        <w:rPr>
          <w:rFonts w:cs="Times New Roman"/>
          <w:lang w:val="es-MX"/>
        </w:rPr>
        <w:t xml:space="preserve">y </w:t>
      </w:r>
      <m:oMath>
        <m:r>
          <w:rPr>
            <w:rFonts w:ascii="Cambria Math" w:hAnsi="Cambria Math" w:cs="Times New Roman"/>
            <w:lang w:val="es-MX"/>
          </w:rPr>
          <m:t>ρ=1.00</m:t>
        </m:r>
      </m:oMath>
      <w:r w:rsidRPr="00CB1BCD">
        <w:rPr>
          <w:rFonts w:cs="Times New Roman"/>
          <w:lang w:val="es-MX"/>
        </w:rPr>
        <w:t xml:space="preserve">. Estos escenarios se utilizaron para medir la sensibilidad del bienestar parcial al uso de la recaudación. </w:t>
      </w:r>
      <w:r w:rsidR="00550160" w:rsidRPr="00CB1BCD">
        <w:rPr>
          <w:rFonts w:cs="Times New Roman"/>
          <w:lang w:val="es-MX"/>
        </w:rPr>
        <w:fldChar w:fldCharType="begin" w:fldLock="1"/>
      </w:r>
      <w:r w:rsidR="00632FBD" w:rsidRPr="00CB1BCD">
        <w:rPr>
          <w:rFonts w:cs="Times New Roman"/>
          <w:lang w:val="es-MX"/>
        </w:rPr>
        <w:instrText>ADDIN CSL_CITATION {"citationItems":[{"id":"ITEM-1","itemData":{"author":[{"dropping-particle":"","family":"Budolfson","given":"Mark","non-dropping-particle":"","parse-names":false,"suffix":""},{"dropping-particle":"","family":"Dennig","given":"Francis","non-dropping-particle":"","parse-names":false,"suffix":""},{"dropping-particle":"","family":"Errickson","given":"Frank","non-dropping-particle":"","parse-names":false,"suffix":""},{"dropping-particle":"","family":"Feindt","given":"Simon","non-dropping-particle":"","parse-names":false,"suffix":""},{"dropping-particle":"","family":"Ferranna","given":"Maddalena","non-dropping-particle":"","parse-names":false,"suffix":""},{"dropping-particle":"","family":"Fleurbaey","given":"Marc","non-dropping-particle":"","parse-names":false,"suffix":""},{"dropping-particle":"","family":"Klenert","given":"David","non-dropping-particle":"","parse-names":false,"suffix":""},{"dropping-particle":"","family":"Kornek","given":"Ulrike","non-dropping-particle":"","parse-names":false,"suffix":""},{"dropping-particle":"","family":"Kuruc","given":"Kevin","non-dropping-particle":"","parse-names":false,"suffix":""},{"dropping-particle":"","family":"Méjean","given":"Aurélie","non-dropping-particle":"","parse-names":false,"suffix":""}],"id":"ITEM-1","issue":"December","issued":{"date-parts":[["2021"]]},"title":"for Poverty , Inequality and Well-Being","type":"article-journal","volume":"11"},"uris":["http://www.mendeley.com/documents/?uuid=5162981a-267c-4a73-ae51-21f764a9a68e"]}],"mendeley":{"formattedCitation":"(Budolfson &lt;i&gt;et al.&lt;/i&gt;, 2021)","manualFormatting":"Budolfson et al. (2021)","plainTextFormattedCitation":"(Budolfson et al., 2021)","previouslyFormattedCitation":"(Budolfson &lt;i&gt;et al.&lt;/i&gt;, 2021)"},"properties":{"noteIndex":0},"schema":"https://github.com/citation-style-language/schema/raw/master/csl-citation.json"}</w:instrText>
      </w:r>
      <w:r w:rsidR="00550160" w:rsidRPr="00CB1BCD">
        <w:rPr>
          <w:rFonts w:cs="Times New Roman"/>
          <w:lang w:val="es-MX"/>
        </w:rPr>
        <w:fldChar w:fldCharType="separate"/>
      </w:r>
      <w:r w:rsidR="00550160" w:rsidRPr="00CB1BCD">
        <w:rPr>
          <w:rFonts w:cs="Times New Roman"/>
          <w:noProof/>
          <w:lang w:val="es-MX"/>
        </w:rPr>
        <w:t xml:space="preserve">Budolfson </w:t>
      </w:r>
      <w:r w:rsidR="00550160" w:rsidRPr="00CB1BCD">
        <w:rPr>
          <w:rFonts w:cs="Times New Roman"/>
          <w:i/>
          <w:noProof/>
          <w:lang w:val="es-MX"/>
        </w:rPr>
        <w:t>et al.</w:t>
      </w:r>
      <w:r w:rsidR="00550160" w:rsidRPr="00CB1BCD">
        <w:rPr>
          <w:rFonts w:cs="Times New Roman"/>
          <w:noProof/>
          <w:lang w:val="es-MX"/>
        </w:rPr>
        <w:t xml:space="preserve"> (2021)</w:t>
      </w:r>
      <w:r w:rsidR="00550160" w:rsidRPr="00CB1BCD">
        <w:rPr>
          <w:rFonts w:cs="Times New Roman"/>
          <w:lang w:val="es-MX"/>
        </w:rPr>
        <w:fldChar w:fldCharType="end"/>
      </w:r>
      <w:r w:rsidRPr="00CB1BCD">
        <w:rPr>
          <w:rFonts w:cs="Times New Roman"/>
          <w:lang w:val="es-MX"/>
        </w:rPr>
        <w:t xml:space="preserve"> muestran que el reciclaje progresivo de ingresos del carbono puede modificar los efectos de pobreza, desigualdad y bienestar; asimismo, </w:t>
      </w:r>
      <w:r w:rsidR="00632FBD" w:rsidRPr="00CB1BCD">
        <w:rPr>
          <w:rFonts w:cs="Times New Roman"/>
          <w:lang w:val="es-MX"/>
        </w:rPr>
        <w:fldChar w:fldCharType="begin" w:fldLock="1"/>
      </w:r>
      <w:r w:rsidR="00922C55" w:rsidRPr="00CB1BCD">
        <w:rPr>
          <w:rFonts w:cs="Times New Roman"/>
          <w:lang w:val="es-MX"/>
        </w:rPr>
        <w:instrText>ADDIN CSL_CITATION {"citationItems":[{"id":"ITEM-1","itemData":{"DOI":"10.1016/j.econmod.2022.105911","ISSN":"02649993","abstract":"This paper describes a micro-founded, fully forward-looking dynamic general equilibrium model with energy sectors to analyze the macroeconomic impact of climate mitigation policy in the European Union. The paper presents simulation results for the transitional costs of moving toward a net-zero emissions economy in a budgetary-neutral way through regulation and carbon taxes. Our model allows for substitutability between fossil fuels and clean energy inputs and considers different recycling options for the revenues collected by carbon taxes. We find that the costs of moving toward a net-zero emissions economy can be significantly reduced when carbon taxes are recycled to reduce other distortive taxes or subsidize clean energy. Our scenarios also show that carbon pricing can be less regressive than regulation-based policies.","author":[{"dropping-particle":"","family":"Varga","given":"Janos","non-dropping-particle":"","parse-names":false,"suffix":""},{"dropping-particle":"","family":"Roeger","given":"Werner","non-dropping-particle":"","parse-names":false,"suffix":""},{"dropping-particle":"","family":"in ’t Veld","given":"Jan","non-dropping-particle":"","parse-names":false,"suffix":""}],"container-title":"Economic Modelling","id":"ITEM-1","issue":"April 2021","issued":{"date-parts":[["2022"]]},"page":"105911","publisher":"European Union","title":"E-QUEST: A multisector dynamic general equilibrium model with energy and a model-based assessment to reach the EU climate targets","type":"article-journal","volume":"114"},"uris":["http://www.mendeley.com/documents/?uuid=842c0446-8348-48f8-8961-341beabe6358"]}],"mendeley":{"formattedCitation":"(Varga, Roeger y in ’t Veld, 2022)","manualFormatting":"Varga, Roeger y in ’t Veld (2022)","plainTextFormattedCitation":"(Varga, Roeger y in ’t Veld, 2022)","previouslyFormattedCitation":"(Varga, Roeger y in ’t Veld, 2022)"},"properties":{"noteIndex":0},"schema":"https://github.com/citation-style-language/schema/raw/master/csl-citation.json"}</w:instrText>
      </w:r>
      <w:r w:rsidR="00632FBD" w:rsidRPr="00CB1BCD">
        <w:rPr>
          <w:rFonts w:cs="Times New Roman"/>
          <w:lang w:val="es-MX"/>
        </w:rPr>
        <w:fldChar w:fldCharType="separate"/>
      </w:r>
      <w:r w:rsidR="00632FBD" w:rsidRPr="00CB1BCD">
        <w:rPr>
          <w:rFonts w:cs="Times New Roman"/>
          <w:noProof/>
          <w:lang w:val="es-MX"/>
        </w:rPr>
        <w:t>Varga</w:t>
      </w:r>
      <w:r w:rsidR="00FB5832" w:rsidRPr="00CB1BCD">
        <w:rPr>
          <w:rFonts w:cs="Times New Roman"/>
          <w:noProof/>
          <w:lang w:val="es-MX"/>
        </w:rPr>
        <w:t xml:space="preserve"> </w:t>
      </w:r>
      <w:r w:rsidR="00FB5832" w:rsidRPr="00CB1BCD">
        <w:rPr>
          <w:rFonts w:cs="Times New Roman"/>
          <w:i/>
          <w:iCs/>
          <w:noProof/>
          <w:lang w:val="es-MX"/>
        </w:rPr>
        <w:t>et al.</w:t>
      </w:r>
      <w:r w:rsidR="00632FBD" w:rsidRPr="00CB1BCD">
        <w:rPr>
          <w:rFonts w:cs="Times New Roman"/>
          <w:noProof/>
          <w:lang w:val="es-MX"/>
        </w:rPr>
        <w:t xml:space="preserve"> (2022)</w:t>
      </w:r>
      <w:r w:rsidR="00632FBD" w:rsidRPr="00CB1BCD">
        <w:rPr>
          <w:rFonts w:cs="Times New Roman"/>
          <w:lang w:val="es-MX"/>
        </w:rPr>
        <w:fldChar w:fldCharType="end"/>
      </w:r>
      <w:r w:rsidRPr="00CB1BCD">
        <w:rPr>
          <w:rFonts w:cs="Times New Roman"/>
          <w:lang w:val="es-MX"/>
        </w:rPr>
        <w:t xml:space="preserve"> encuentran que el reciclaje de ingresos de impuestos al carbono puede reducir costos cuando se orienta a disminuir impuestos distorsionantes o subsidiar energía limpia.</w:t>
      </w:r>
    </w:p>
    <w:p w14:paraId="6887850F" w14:textId="77777777" w:rsidR="00956B0C" w:rsidRPr="00CB1BCD" w:rsidRDefault="00956B0C" w:rsidP="001C71C2">
      <w:pPr>
        <w:rPr>
          <w:rFonts w:cs="Times New Roman"/>
          <w:lang w:val="es-MX"/>
        </w:rPr>
      </w:pPr>
    </w:p>
    <w:p w14:paraId="1AC863BE" w14:textId="4A94151E" w:rsidR="00F700C5" w:rsidRPr="00CB1BCD" w:rsidRDefault="00EA482C" w:rsidP="001C71C2">
      <w:pPr>
        <w:pStyle w:val="Ttulo2"/>
        <w:spacing w:line="360" w:lineRule="auto"/>
        <w:rPr>
          <w:color w:val="auto"/>
        </w:rPr>
      </w:pPr>
      <w:r w:rsidRPr="00CB1BCD">
        <w:rPr>
          <w:color w:val="auto"/>
        </w:rPr>
        <w:t xml:space="preserve">Cálculo </w:t>
      </w:r>
      <w:r w:rsidR="00F700C5" w:rsidRPr="00CB1BCD">
        <w:rPr>
          <w:color w:val="auto"/>
        </w:rPr>
        <w:t>del máximo recaudatorio</w:t>
      </w:r>
    </w:p>
    <w:p w14:paraId="340B178C" w14:textId="77777777" w:rsidR="00F700C5" w:rsidRDefault="00F700C5" w:rsidP="001C71C2">
      <w:pPr>
        <w:ind w:firstLine="708"/>
        <w:rPr>
          <w:rFonts w:cs="Times New Roman"/>
          <w:lang w:val="es-MX"/>
        </w:rPr>
      </w:pPr>
      <w:r w:rsidRPr="00CB1BCD">
        <w:rPr>
          <w:rFonts w:cs="Times New Roman"/>
          <w:lang w:val="es-MX"/>
        </w:rPr>
        <w:t>El punto máximo de recaudación se identificó analíticamente a partir de la función:</w:t>
      </w:r>
    </w:p>
    <w:p w14:paraId="4DD38F29" w14:textId="77777777" w:rsidR="00956B0C" w:rsidRPr="00CB1BCD" w:rsidRDefault="00956B0C" w:rsidP="001C71C2">
      <w:pPr>
        <w:ind w:firstLine="708"/>
        <w:rPr>
          <w:rFonts w:cs="Times New Roman"/>
          <w:lang w:val="es-MX"/>
        </w:rPr>
      </w:pPr>
    </w:p>
    <w:p w14:paraId="289336F8" w14:textId="2B80CF25" w:rsidR="00F700C5" w:rsidRPr="00956B0C" w:rsidRDefault="00F700C5" w:rsidP="001C71C2">
      <w:pPr>
        <w:rPr>
          <w:rFonts w:eastAsiaTheme="minorEastAsia" w:cs="Times New Roman"/>
          <w:lang w:val="es-MX"/>
        </w:rPr>
      </w:pPr>
      <m:oMathPara>
        <m:oMath>
          <m:r>
            <w:rPr>
              <w:rFonts w:ascii="Cambria Math" w:hAnsi="Cambria Math" w:cs="Times New Roman"/>
              <w:lang w:val="es-MX"/>
            </w:rPr>
            <w:lastRenderedPageBreak/>
            <m:t>R(τ)=τ</m:t>
          </m:r>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0</m:t>
              </m:r>
            </m:sub>
          </m:sSub>
          <m:sSup>
            <m:sSupPr>
              <m:ctrlPr>
                <w:rPr>
                  <w:rFonts w:ascii="Cambria Math" w:hAnsi="Cambria Math" w:cs="Times New Roman"/>
                  <w:lang w:val="es-MX"/>
                </w:rPr>
              </m:ctrlPr>
            </m:sSupPr>
            <m:e>
              <m:r>
                <w:rPr>
                  <w:rFonts w:ascii="Cambria Math" w:hAnsi="Cambria Math" w:cs="Times New Roman"/>
                  <w:lang w:val="es-MX"/>
                </w:rPr>
                <m:t>e</m:t>
              </m:r>
            </m:e>
            <m:sup>
              <m:r>
                <w:rPr>
                  <w:rFonts w:ascii="Cambria Math" w:hAnsi="Cambria Math" w:cs="Times New Roman"/>
                  <w:lang w:val="es-MX"/>
                </w:rPr>
                <m:t>-kτ</m:t>
              </m:r>
            </m:sup>
          </m:sSup>
        </m:oMath>
      </m:oMathPara>
    </w:p>
    <w:p w14:paraId="3F6BCB3A" w14:textId="77777777" w:rsidR="00956B0C" w:rsidRPr="00CB1BCD" w:rsidRDefault="00956B0C" w:rsidP="001C71C2">
      <w:pPr>
        <w:rPr>
          <w:rFonts w:cs="Times New Roman"/>
          <w:lang w:val="es-MX"/>
        </w:rPr>
      </w:pPr>
    </w:p>
    <w:p w14:paraId="32B08B28" w14:textId="01D33F43" w:rsidR="00F700C5" w:rsidRDefault="00004D85" w:rsidP="001C71C2">
      <w:pPr>
        <w:rPr>
          <w:rFonts w:cs="Times New Roman"/>
          <w:lang w:val="es-MX"/>
        </w:rPr>
      </w:pPr>
      <w:r w:rsidRPr="00CB1BCD">
        <w:rPr>
          <w:rFonts w:cs="Times New Roman"/>
          <w:lang w:val="es-MX"/>
        </w:rPr>
        <w:t xml:space="preserve">Donde </w:t>
      </w:r>
      <m:oMath>
        <m:r>
          <w:rPr>
            <w:rFonts w:ascii="Cambria Math" w:hAnsi="Cambria Math" w:cs="Times New Roman"/>
            <w:lang w:val="es-MX"/>
          </w:rPr>
          <m:t>τ≥0.</m:t>
        </m:r>
      </m:oMath>
      <w:r w:rsidRPr="00CB1BCD">
        <w:rPr>
          <w:rFonts w:cs="Times New Roman"/>
          <w:lang w:val="es-MX"/>
        </w:rPr>
        <w:t xml:space="preserve"> </w:t>
      </w:r>
      <w:r w:rsidR="00F700C5" w:rsidRPr="00CB1BCD">
        <w:rPr>
          <w:rFonts w:cs="Times New Roman"/>
          <w:lang w:val="es-MX"/>
        </w:rPr>
        <w:t>Dado que:</w:t>
      </w:r>
    </w:p>
    <w:p w14:paraId="7B2B33DD" w14:textId="77777777" w:rsidR="00956B0C" w:rsidRPr="00CB1BCD" w:rsidRDefault="00956B0C" w:rsidP="001C71C2">
      <w:pPr>
        <w:rPr>
          <w:rFonts w:cs="Times New Roman"/>
          <w:lang w:val="es-MX"/>
        </w:rPr>
      </w:pPr>
    </w:p>
    <w:p w14:paraId="39D746D0" w14:textId="07979117" w:rsidR="00F700C5" w:rsidRPr="00956B0C" w:rsidRDefault="00000000" w:rsidP="001C71C2">
      <w:pPr>
        <w:rPr>
          <w:rFonts w:eastAsiaTheme="minorEastAsia" w:cs="Times New Roman"/>
          <w:lang w:val="es-MX"/>
        </w:rPr>
      </w:pPr>
      <m:oMathPara>
        <m:oMath>
          <m:f>
            <m:fPr>
              <m:ctrlPr>
                <w:rPr>
                  <w:rFonts w:ascii="Cambria Math" w:hAnsi="Cambria Math" w:cs="Times New Roman"/>
                  <w:lang w:val="es-MX"/>
                </w:rPr>
              </m:ctrlPr>
            </m:fPr>
            <m:num>
              <m:r>
                <w:rPr>
                  <w:rFonts w:ascii="Cambria Math" w:hAnsi="Cambria Math" w:cs="Times New Roman"/>
                  <w:lang w:val="es-MX"/>
                </w:rPr>
                <m:t>dR</m:t>
              </m:r>
            </m:num>
            <m:den>
              <m:r>
                <w:rPr>
                  <w:rFonts w:ascii="Cambria Math" w:hAnsi="Cambria Math" w:cs="Times New Roman"/>
                  <w:lang w:val="es-MX"/>
                </w:rPr>
                <m:t>dτ</m:t>
              </m:r>
            </m:den>
          </m:f>
          <m:r>
            <w:rPr>
              <w:rFonts w:ascii="Cambria Math" w:hAnsi="Cambria Math" w:cs="Times New Roman"/>
              <w:lang w:val="es-MX"/>
            </w:rPr>
            <m:t>=</m:t>
          </m:r>
          <m:sSub>
            <m:sSubPr>
              <m:ctrlPr>
                <w:rPr>
                  <w:rFonts w:ascii="Cambria Math" w:hAnsi="Cambria Math" w:cs="Times New Roman"/>
                  <w:lang w:val="es-MX"/>
                </w:rPr>
              </m:ctrlPr>
            </m:sSubPr>
            <m:e>
              <m:r>
                <w:rPr>
                  <w:rFonts w:ascii="Cambria Math" w:hAnsi="Cambria Math" w:cs="Times New Roman"/>
                  <w:lang w:val="es-MX"/>
                </w:rPr>
                <m:t>E</m:t>
              </m:r>
            </m:e>
            <m:sub>
              <m:r>
                <w:rPr>
                  <w:rFonts w:ascii="Cambria Math" w:hAnsi="Cambria Math" w:cs="Times New Roman"/>
                  <w:lang w:val="es-MX"/>
                </w:rPr>
                <m:t>0</m:t>
              </m:r>
            </m:sub>
          </m:sSub>
          <m:sSup>
            <m:sSupPr>
              <m:ctrlPr>
                <w:rPr>
                  <w:rFonts w:ascii="Cambria Math" w:hAnsi="Cambria Math" w:cs="Times New Roman"/>
                  <w:lang w:val="es-MX"/>
                </w:rPr>
              </m:ctrlPr>
            </m:sSupPr>
            <m:e>
              <m:r>
                <w:rPr>
                  <w:rFonts w:ascii="Cambria Math" w:hAnsi="Cambria Math" w:cs="Times New Roman"/>
                  <w:lang w:val="es-MX"/>
                </w:rPr>
                <m:t>e</m:t>
              </m:r>
            </m:e>
            <m:sup>
              <m:r>
                <w:rPr>
                  <w:rFonts w:ascii="Cambria Math" w:hAnsi="Cambria Math" w:cs="Times New Roman"/>
                  <w:lang w:val="es-MX"/>
                </w:rPr>
                <m:t>-kτ</m:t>
              </m:r>
            </m:sup>
          </m:sSup>
          <m:r>
            <w:rPr>
              <w:rFonts w:ascii="Cambria Math" w:hAnsi="Cambria Math" w:cs="Times New Roman"/>
              <w:lang w:val="es-MX"/>
            </w:rPr>
            <m:t>(1-kτ)</m:t>
          </m:r>
        </m:oMath>
      </m:oMathPara>
    </w:p>
    <w:p w14:paraId="78D84A4F" w14:textId="77777777" w:rsidR="00956B0C" w:rsidRPr="00CB1BCD" w:rsidRDefault="00956B0C" w:rsidP="001C71C2">
      <w:pPr>
        <w:rPr>
          <w:rFonts w:cs="Times New Roman"/>
          <w:lang w:val="es-MX"/>
        </w:rPr>
      </w:pPr>
    </w:p>
    <w:p w14:paraId="12C465C5" w14:textId="1E4FD107" w:rsidR="00F700C5" w:rsidRDefault="00004D85" w:rsidP="001C71C2">
      <w:pPr>
        <w:rPr>
          <w:rFonts w:cs="Times New Roman"/>
          <w:lang w:val="es-MX"/>
        </w:rPr>
      </w:pPr>
      <w:r w:rsidRPr="00CB1BCD">
        <w:rPr>
          <w:rFonts w:cs="Times New Roman"/>
          <w:lang w:val="es-MX"/>
        </w:rPr>
        <w:t>la condición de primer orden se cumple cuando</w:t>
      </w:r>
      <w:r w:rsidR="00F700C5" w:rsidRPr="00CB1BCD">
        <w:rPr>
          <w:rFonts w:cs="Times New Roman"/>
          <w:lang w:val="es-MX"/>
        </w:rPr>
        <w:t>:</w:t>
      </w:r>
    </w:p>
    <w:p w14:paraId="6AF715DF" w14:textId="77777777" w:rsidR="00956B0C" w:rsidRPr="00CB1BCD" w:rsidRDefault="00956B0C" w:rsidP="001C71C2">
      <w:pPr>
        <w:rPr>
          <w:rFonts w:cs="Times New Roman"/>
          <w:lang w:val="es-MX"/>
        </w:rPr>
      </w:pPr>
    </w:p>
    <w:p w14:paraId="3EE9D51B" w14:textId="1E04D2D0" w:rsidR="00004D85" w:rsidRPr="00956B0C" w:rsidRDefault="00F700C5" w:rsidP="001C71C2">
      <w:pPr>
        <w:rPr>
          <w:rFonts w:eastAsiaTheme="minorEastAsia" w:cs="Times New Roman"/>
          <w:lang w:val="es-MX"/>
        </w:rPr>
      </w:pPr>
      <m:oMathPara>
        <m:oMath>
          <m:r>
            <w:rPr>
              <w:rFonts w:ascii="Cambria Math" w:hAnsi="Cambria Math" w:cs="Times New Roman"/>
              <w:lang w:val="es-MX"/>
            </w:rPr>
            <m:t>1-kτ=0</m:t>
          </m:r>
        </m:oMath>
      </m:oMathPara>
    </w:p>
    <w:p w14:paraId="6C243C0A" w14:textId="77777777" w:rsidR="00956B0C" w:rsidRPr="00CB1BCD" w:rsidRDefault="00956B0C" w:rsidP="001C71C2">
      <w:pPr>
        <w:rPr>
          <w:rFonts w:cs="Times New Roman"/>
          <w:lang w:val="es-MX"/>
        </w:rPr>
      </w:pPr>
    </w:p>
    <w:p w14:paraId="520FEBA5" w14:textId="1FF2C12E" w:rsidR="00F700C5" w:rsidRDefault="00F700C5" w:rsidP="001C71C2">
      <w:pPr>
        <w:rPr>
          <w:rFonts w:cs="Times New Roman"/>
          <w:lang w:val="es-MX"/>
        </w:rPr>
      </w:pPr>
      <w:r w:rsidRPr="00CB1BCD">
        <w:rPr>
          <w:rFonts w:cs="Times New Roman"/>
          <w:lang w:val="es-MX"/>
        </w:rPr>
        <w:t>por lo que:</w:t>
      </w:r>
    </w:p>
    <w:p w14:paraId="7FB468F8" w14:textId="77777777" w:rsidR="00956B0C" w:rsidRPr="00CB1BCD" w:rsidRDefault="00956B0C" w:rsidP="001C71C2">
      <w:pPr>
        <w:rPr>
          <w:rFonts w:cs="Times New Roman"/>
          <w:lang w:val="es-MX"/>
        </w:rPr>
      </w:pPr>
    </w:p>
    <w:p w14:paraId="47CFEFB5" w14:textId="62988FE6" w:rsidR="00F700C5" w:rsidRPr="00956B0C" w:rsidRDefault="00000000" w:rsidP="001C71C2">
      <w:pPr>
        <w:rPr>
          <w:rFonts w:eastAsiaTheme="minorEastAsia" w:cs="Times New Roman"/>
          <w:lang w:val="es-MX"/>
        </w:rPr>
      </w:pPr>
      <m:oMathPara>
        <m:oMath>
          <m:sSup>
            <m:sSupPr>
              <m:ctrlPr>
                <w:rPr>
                  <w:rFonts w:ascii="Cambria Math" w:hAnsi="Cambria Math" w:cs="Times New Roman"/>
                  <w:lang w:val="es-MX"/>
                </w:rPr>
              </m:ctrlPr>
            </m:sSupPr>
            <m:e>
              <m:r>
                <w:rPr>
                  <w:rFonts w:ascii="Cambria Math" w:hAnsi="Cambria Math" w:cs="Times New Roman"/>
                  <w:lang w:val="es-MX"/>
                </w:rPr>
                <m:t>τ</m:t>
              </m:r>
            </m:e>
            <m:sup>
              <m:r>
                <w:rPr>
                  <w:rFonts w:ascii="Cambria Math" w:hAnsi="Cambria Math" w:cs="Times New Roman"/>
                  <w:lang w:val="es-MX"/>
                </w:rPr>
                <m:t>*</m:t>
              </m:r>
            </m:sup>
          </m:sSup>
          <m:r>
            <w:rPr>
              <w:rFonts w:ascii="Cambria Math" w:hAnsi="Cambria Math" w:cs="Times New Roman"/>
              <w:lang w:val="es-MX"/>
            </w:rPr>
            <m:t>=</m:t>
          </m:r>
          <m:f>
            <m:fPr>
              <m:ctrlPr>
                <w:rPr>
                  <w:rFonts w:ascii="Cambria Math" w:hAnsi="Cambria Math" w:cs="Times New Roman"/>
                  <w:lang w:val="es-MX"/>
                </w:rPr>
              </m:ctrlPr>
            </m:fPr>
            <m:num>
              <m:r>
                <w:rPr>
                  <w:rFonts w:ascii="Cambria Math" w:hAnsi="Cambria Math" w:cs="Times New Roman"/>
                  <w:lang w:val="es-MX"/>
                </w:rPr>
                <m:t>1</m:t>
              </m:r>
            </m:num>
            <m:den>
              <m:r>
                <w:rPr>
                  <w:rFonts w:ascii="Cambria Math" w:hAnsi="Cambria Math" w:cs="Times New Roman"/>
                  <w:lang w:val="es-MX"/>
                </w:rPr>
                <m:t>k</m:t>
              </m:r>
            </m:den>
          </m:f>
        </m:oMath>
      </m:oMathPara>
    </w:p>
    <w:p w14:paraId="7D73AE7C" w14:textId="77777777" w:rsidR="00956B0C" w:rsidRPr="00CB1BCD" w:rsidRDefault="00956B0C" w:rsidP="001C71C2">
      <w:pPr>
        <w:rPr>
          <w:rFonts w:cs="Times New Roman"/>
          <w:lang w:val="es-MX"/>
        </w:rPr>
      </w:pPr>
    </w:p>
    <w:p w14:paraId="25B1E5E4" w14:textId="35918029" w:rsidR="00004D85" w:rsidRDefault="00004D85" w:rsidP="001C71C2">
      <w:pPr>
        <w:rPr>
          <w:rFonts w:cs="Times New Roman"/>
          <w:lang w:val="es-MX"/>
        </w:rPr>
      </w:pPr>
      <w:r w:rsidRPr="00CB1BCD">
        <w:rPr>
          <w:rFonts w:cs="Times New Roman"/>
          <w:lang w:val="es-MX"/>
        </w:rPr>
        <w:t>La condición de segundo orden confirma que se trata de un máximo interno del modelo, ya que:</w:t>
      </w:r>
    </w:p>
    <w:p w14:paraId="60923594" w14:textId="77777777" w:rsidR="00956B0C" w:rsidRPr="00CB1BCD" w:rsidRDefault="00956B0C" w:rsidP="001C71C2">
      <w:pPr>
        <w:rPr>
          <w:rFonts w:cs="Times New Roman"/>
          <w:lang w:val="es-MX"/>
        </w:rPr>
      </w:pPr>
    </w:p>
    <w:p w14:paraId="39D1EE63" w14:textId="62B2712C" w:rsidR="00004D85" w:rsidRPr="00956B0C" w:rsidRDefault="00000000" w:rsidP="001C71C2">
      <w:pPr>
        <w:rPr>
          <w:rFonts w:eastAsiaTheme="minorEastAsia" w:cs="Times New Roman"/>
          <w:lang w:val="es-MX"/>
        </w:rPr>
      </w:pPr>
      <m:oMathPara>
        <m:oMath>
          <m:f>
            <m:fPr>
              <m:ctrlPr>
                <w:rPr>
                  <w:rFonts w:ascii="Cambria Math" w:hAnsi="Cambria Math" w:cs="Times New Roman"/>
                  <w:i/>
                  <w:lang w:val="es-MX"/>
                </w:rPr>
              </m:ctrlPr>
            </m:fPr>
            <m:num>
              <m:sSup>
                <m:sSupPr>
                  <m:ctrlPr>
                    <w:rPr>
                      <w:rFonts w:ascii="Cambria Math" w:hAnsi="Cambria Math" w:cs="Times New Roman"/>
                      <w:i/>
                      <w:lang w:val="es-MX"/>
                    </w:rPr>
                  </m:ctrlPr>
                </m:sSupPr>
                <m:e>
                  <m:r>
                    <w:rPr>
                      <w:rFonts w:ascii="Cambria Math" w:hAnsi="Cambria Math" w:cs="Times New Roman"/>
                      <w:lang w:val="es-MX"/>
                    </w:rPr>
                    <m:t>d</m:t>
                  </m:r>
                </m:e>
                <m:sup>
                  <m:r>
                    <w:rPr>
                      <w:rFonts w:ascii="Cambria Math" w:hAnsi="Cambria Math" w:cs="Times New Roman"/>
                      <w:lang w:val="es-MX"/>
                    </w:rPr>
                    <m:t>2</m:t>
                  </m:r>
                </m:sup>
              </m:sSup>
              <m:r>
                <w:rPr>
                  <w:rFonts w:ascii="Cambria Math" w:hAnsi="Cambria Math" w:cs="Times New Roman"/>
                  <w:lang w:val="es-MX"/>
                </w:rPr>
                <m:t>R</m:t>
              </m:r>
            </m:num>
            <m:den>
              <m:r>
                <w:rPr>
                  <w:rFonts w:ascii="Cambria Math" w:hAnsi="Cambria Math" w:cs="Times New Roman"/>
                  <w:lang w:val="es-MX"/>
                </w:rPr>
                <m:t>d</m:t>
              </m:r>
              <m:sSup>
                <m:sSupPr>
                  <m:ctrlPr>
                    <w:rPr>
                      <w:rFonts w:ascii="Cambria Math" w:hAnsi="Cambria Math" w:cs="Times New Roman"/>
                      <w:i/>
                      <w:lang w:val="es-MX"/>
                    </w:rPr>
                  </m:ctrlPr>
                </m:sSupPr>
                <m:e>
                  <m:r>
                    <w:rPr>
                      <w:rFonts w:ascii="Cambria Math" w:hAnsi="Cambria Math" w:cs="Times New Roman"/>
                      <w:lang w:val="es-MX"/>
                    </w:rPr>
                    <m:t>τ</m:t>
                  </m:r>
                </m:e>
                <m:sup>
                  <m:r>
                    <w:rPr>
                      <w:rFonts w:ascii="Cambria Math" w:hAnsi="Cambria Math" w:cs="Times New Roman"/>
                      <w:lang w:val="es-MX"/>
                    </w:rPr>
                    <m:t>2</m:t>
                  </m:r>
                </m:sup>
              </m:sSup>
            </m:den>
          </m:f>
          <m:r>
            <w:rPr>
              <w:rFonts w:ascii="Cambria Math" w:hAnsi="Cambria Math" w:cs="Times New Roman"/>
              <w:lang w:val="es-MX"/>
            </w:rPr>
            <m:t>=-k</m:t>
          </m:r>
          <m:sSub>
            <m:sSubPr>
              <m:ctrlPr>
                <w:rPr>
                  <w:rFonts w:ascii="Cambria Math" w:hAnsi="Cambria Math" w:cs="Times New Roman"/>
                  <w:i/>
                  <w:lang w:val="es-MX"/>
                </w:rPr>
              </m:ctrlPr>
            </m:sSubPr>
            <m:e>
              <m:r>
                <w:rPr>
                  <w:rFonts w:ascii="Cambria Math" w:hAnsi="Cambria Math" w:cs="Times New Roman"/>
                  <w:lang w:val="es-MX"/>
                </w:rPr>
                <m:t>E</m:t>
              </m:r>
            </m:e>
            <m:sub>
              <m:r>
                <w:rPr>
                  <w:rFonts w:ascii="Cambria Math" w:hAnsi="Cambria Math" w:cs="Times New Roman"/>
                  <w:lang w:val="es-MX"/>
                </w:rPr>
                <m:t>0</m:t>
              </m:r>
            </m:sub>
          </m:sSub>
          <m:sSup>
            <m:sSupPr>
              <m:ctrlPr>
                <w:rPr>
                  <w:rFonts w:ascii="Cambria Math" w:hAnsi="Cambria Math" w:cs="Times New Roman"/>
                  <w:i/>
                  <w:lang w:val="es-MX"/>
                </w:rPr>
              </m:ctrlPr>
            </m:sSupPr>
            <m:e>
              <m:r>
                <w:rPr>
                  <w:rFonts w:ascii="Cambria Math" w:hAnsi="Cambria Math" w:cs="Times New Roman"/>
                  <w:lang w:val="es-MX"/>
                </w:rPr>
                <m:t>e</m:t>
              </m:r>
            </m:e>
            <m:sup>
              <m:r>
                <w:rPr>
                  <w:rFonts w:ascii="Cambria Math" w:hAnsi="Cambria Math" w:cs="Times New Roman"/>
                  <w:lang w:val="es-MX"/>
                </w:rPr>
                <m:t>-kτ</m:t>
              </m:r>
            </m:sup>
          </m:sSup>
          <m:r>
            <w:rPr>
              <w:rFonts w:ascii="Cambria Math" w:hAnsi="Cambria Math" w:cs="Times New Roman"/>
              <w:lang w:val="es-MX"/>
            </w:rPr>
            <m:t>(2-kτ)</m:t>
          </m:r>
        </m:oMath>
      </m:oMathPara>
    </w:p>
    <w:p w14:paraId="78C5D4A0" w14:textId="77777777" w:rsidR="00956B0C" w:rsidRPr="00CB1BCD" w:rsidRDefault="00956B0C" w:rsidP="001C71C2">
      <w:pPr>
        <w:rPr>
          <w:rFonts w:eastAsiaTheme="minorEastAsia" w:cs="Times New Roman"/>
          <w:lang w:val="es-MX"/>
        </w:rPr>
      </w:pPr>
    </w:p>
    <w:p w14:paraId="5D6C647B" w14:textId="32E1C182" w:rsidR="00004D85" w:rsidRDefault="00420255" w:rsidP="001C71C2">
      <w:pPr>
        <w:rPr>
          <w:rFonts w:eastAsiaTheme="minorEastAsia" w:cs="Times New Roman"/>
          <w:lang w:val="es-MX"/>
        </w:rPr>
      </w:pPr>
      <w:r w:rsidRPr="00CB1BCD">
        <w:rPr>
          <w:rFonts w:eastAsiaTheme="minorEastAsia" w:cs="Times New Roman"/>
          <w:lang w:val="es-MX"/>
        </w:rPr>
        <w:t xml:space="preserve">y, al evaluar </w:t>
      </w:r>
      <m:oMath>
        <m:sSup>
          <m:sSupPr>
            <m:ctrlPr>
              <w:rPr>
                <w:rFonts w:ascii="Cambria Math" w:eastAsiaTheme="minorEastAsia" w:hAnsi="Cambria Math" w:cs="Times New Roman"/>
                <w:i/>
                <w:lang w:val="es-MX"/>
              </w:rPr>
            </m:ctrlPr>
          </m:sSupPr>
          <m:e>
            <m:r>
              <w:rPr>
                <w:rFonts w:ascii="Cambria Math" w:eastAsiaTheme="minorEastAsia" w:hAnsi="Cambria Math" w:cs="Times New Roman"/>
                <w:lang w:val="es-MX"/>
              </w:rPr>
              <m:t>τ</m:t>
            </m:r>
          </m:e>
          <m:sup>
            <m:r>
              <w:rPr>
                <w:rFonts w:ascii="Cambria Math" w:eastAsiaTheme="minorEastAsia" w:hAnsi="Cambria Math" w:cs="Times New Roman"/>
                <w:lang w:val="es-MX"/>
              </w:rPr>
              <m:t>*</m:t>
            </m:r>
          </m:sup>
        </m:sSup>
        <m:r>
          <w:rPr>
            <w:rFonts w:ascii="Cambria Math" w:eastAsiaTheme="minorEastAsia" w:hAnsi="Cambria Math" w:cs="Times New Roman"/>
            <w:lang w:val="es-MX"/>
          </w:rPr>
          <m:t>=1/k</m:t>
        </m:r>
      </m:oMath>
      <w:r w:rsidRPr="00CB1BCD">
        <w:rPr>
          <w:rFonts w:eastAsiaTheme="minorEastAsia" w:cs="Times New Roman"/>
          <w:lang w:val="es-MX"/>
        </w:rPr>
        <w:t>, se obtiene</w:t>
      </w:r>
      <w:r w:rsidR="00004D85" w:rsidRPr="00CB1BCD">
        <w:rPr>
          <w:rFonts w:eastAsiaTheme="minorEastAsia" w:cs="Times New Roman"/>
          <w:lang w:val="es-MX"/>
        </w:rPr>
        <w:t>:</w:t>
      </w:r>
    </w:p>
    <w:p w14:paraId="7EC12D9C" w14:textId="77777777" w:rsidR="00956B0C" w:rsidRPr="00CB1BCD" w:rsidRDefault="00956B0C" w:rsidP="001C71C2">
      <w:pPr>
        <w:rPr>
          <w:rFonts w:eastAsiaTheme="minorEastAsia" w:cs="Times New Roman"/>
          <w:lang w:val="es-MX"/>
        </w:rPr>
      </w:pPr>
    </w:p>
    <w:p w14:paraId="5CB46FAE" w14:textId="335CC5C1" w:rsidR="00420255" w:rsidRPr="00956B0C" w:rsidRDefault="00000000" w:rsidP="001C71C2">
      <w:pPr>
        <w:rPr>
          <w:rFonts w:eastAsiaTheme="minorEastAsia" w:cs="Times New Roman"/>
          <w:lang w:val="es-MX"/>
        </w:rPr>
      </w:pPr>
      <m:oMathPara>
        <m:oMath>
          <m:f>
            <m:fPr>
              <m:ctrlPr>
                <w:rPr>
                  <w:rFonts w:ascii="Cambria Math" w:hAnsi="Cambria Math" w:cs="Times New Roman"/>
                  <w:i/>
                  <w:lang w:val="es-MX"/>
                </w:rPr>
              </m:ctrlPr>
            </m:fPr>
            <m:num>
              <m:sSup>
                <m:sSupPr>
                  <m:ctrlPr>
                    <w:rPr>
                      <w:rFonts w:ascii="Cambria Math" w:hAnsi="Cambria Math" w:cs="Times New Roman"/>
                      <w:i/>
                      <w:lang w:val="es-MX"/>
                    </w:rPr>
                  </m:ctrlPr>
                </m:sSupPr>
                <m:e>
                  <m:r>
                    <w:rPr>
                      <w:rFonts w:ascii="Cambria Math" w:hAnsi="Cambria Math" w:cs="Times New Roman"/>
                      <w:lang w:val="es-MX"/>
                    </w:rPr>
                    <m:t>d</m:t>
                  </m:r>
                </m:e>
                <m:sup>
                  <m:r>
                    <w:rPr>
                      <w:rFonts w:ascii="Cambria Math" w:hAnsi="Cambria Math" w:cs="Times New Roman"/>
                      <w:lang w:val="es-MX"/>
                    </w:rPr>
                    <m:t>2</m:t>
                  </m:r>
                </m:sup>
              </m:sSup>
              <m:r>
                <w:rPr>
                  <w:rFonts w:ascii="Cambria Math" w:hAnsi="Cambria Math" w:cs="Times New Roman"/>
                  <w:lang w:val="es-MX"/>
                </w:rPr>
                <m:t>R</m:t>
              </m:r>
            </m:num>
            <m:den>
              <m:r>
                <w:rPr>
                  <w:rFonts w:ascii="Cambria Math" w:hAnsi="Cambria Math" w:cs="Times New Roman"/>
                  <w:lang w:val="es-MX"/>
                </w:rPr>
                <m:t>d</m:t>
              </m:r>
              <m:sSup>
                <m:sSupPr>
                  <m:ctrlPr>
                    <w:rPr>
                      <w:rFonts w:ascii="Cambria Math" w:hAnsi="Cambria Math" w:cs="Times New Roman"/>
                      <w:i/>
                      <w:lang w:val="es-MX"/>
                    </w:rPr>
                  </m:ctrlPr>
                </m:sSupPr>
                <m:e>
                  <m:r>
                    <w:rPr>
                      <w:rFonts w:ascii="Cambria Math" w:hAnsi="Cambria Math" w:cs="Times New Roman"/>
                      <w:lang w:val="es-MX"/>
                    </w:rPr>
                    <m:t>τ</m:t>
                  </m:r>
                </m:e>
                <m:sup>
                  <m:r>
                    <w:rPr>
                      <w:rFonts w:ascii="Cambria Math" w:hAnsi="Cambria Math" w:cs="Times New Roman"/>
                      <w:lang w:val="es-MX"/>
                    </w:rPr>
                    <m:t>2</m:t>
                  </m:r>
                </m:sup>
              </m:sSup>
            </m:den>
          </m:f>
          <m:r>
            <w:rPr>
              <w:rFonts w:ascii="Cambria Math" w:eastAsiaTheme="minorEastAsia" w:hAnsi="Cambria Math" w:cs="Times New Roman"/>
              <w:lang w:val="es-MX"/>
            </w:rPr>
            <m:t>=-k</m:t>
          </m:r>
          <m:sSub>
            <m:sSubPr>
              <m:ctrlPr>
                <w:rPr>
                  <w:rFonts w:ascii="Cambria Math" w:hAnsi="Cambria Math" w:cs="Times New Roman"/>
                  <w:i/>
                  <w:lang w:val="es-MX"/>
                </w:rPr>
              </m:ctrlPr>
            </m:sSubPr>
            <m:e>
              <m:r>
                <w:rPr>
                  <w:rFonts w:ascii="Cambria Math" w:hAnsi="Cambria Math" w:cs="Times New Roman"/>
                  <w:lang w:val="es-MX"/>
                </w:rPr>
                <m:t>E</m:t>
              </m:r>
            </m:e>
            <m:sub>
              <m:r>
                <w:rPr>
                  <w:rFonts w:ascii="Cambria Math" w:hAnsi="Cambria Math" w:cs="Times New Roman"/>
                  <w:lang w:val="es-MX"/>
                </w:rPr>
                <m:t>0</m:t>
              </m:r>
            </m:sub>
          </m:sSub>
          <m:sSup>
            <m:sSupPr>
              <m:ctrlPr>
                <w:rPr>
                  <w:rFonts w:ascii="Cambria Math" w:hAnsi="Cambria Math" w:cs="Times New Roman"/>
                  <w:i/>
                  <w:lang w:val="es-MX"/>
                </w:rPr>
              </m:ctrlPr>
            </m:sSupPr>
            <m:e>
              <m:r>
                <w:rPr>
                  <w:rFonts w:ascii="Cambria Math" w:hAnsi="Cambria Math" w:cs="Times New Roman"/>
                  <w:lang w:val="es-MX"/>
                </w:rPr>
                <m:t>e</m:t>
              </m:r>
            </m:e>
            <m:sup>
              <m:r>
                <w:rPr>
                  <w:rFonts w:ascii="Cambria Math" w:hAnsi="Cambria Math" w:cs="Times New Roman"/>
                  <w:lang w:val="es-MX"/>
                </w:rPr>
                <m:t>-1</m:t>
              </m:r>
            </m:sup>
          </m:sSup>
          <m:r>
            <w:rPr>
              <w:rFonts w:ascii="Cambria Math" w:hAnsi="Cambria Math" w:cs="Times New Roman"/>
              <w:lang w:val="es-MX"/>
            </w:rPr>
            <m:t>&lt;0</m:t>
          </m:r>
        </m:oMath>
      </m:oMathPara>
    </w:p>
    <w:p w14:paraId="1511B21F" w14:textId="77777777" w:rsidR="00956B0C" w:rsidRPr="00CB1BCD" w:rsidRDefault="00956B0C" w:rsidP="001C71C2">
      <w:pPr>
        <w:rPr>
          <w:rFonts w:eastAsiaTheme="minorEastAsia" w:cs="Times New Roman"/>
          <w:lang w:val="es-MX"/>
        </w:rPr>
      </w:pPr>
    </w:p>
    <w:p w14:paraId="0F2BD9A2" w14:textId="7712C238" w:rsidR="00F700C5" w:rsidRDefault="00F700C5" w:rsidP="001C71C2">
      <w:pPr>
        <w:rPr>
          <w:rFonts w:cs="Times New Roman"/>
          <w:lang w:val="es-MX"/>
        </w:rPr>
      </w:pPr>
      <w:r w:rsidRPr="00CB1BCD">
        <w:rPr>
          <w:rFonts w:cs="Times New Roman"/>
          <w:lang w:val="es-MX"/>
        </w:rPr>
        <w:t xml:space="preserve">Con </w:t>
      </w:r>
      <m:oMath>
        <m:r>
          <w:rPr>
            <w:rFonts w:ascii="Cambria Math" w:hAnsi="Cambria Math" w:cs="Times New Roman"/>
            <w:lang w:val="es-MX"/>
          </w:rPr>
          <m:t>k=0.003485</m:t>
        </m:r>
      </m:oMath>
      <w:r w:rsidRPr="00CB1BCD">
        <w:rPr>
          <w:rFonts w:cs="Times New Roman"/>
          <w:lang w:val="es-MX"/>
        </w:rPr>
        <w:t>, el precio que maximiza la recaudación simulada es:</w:t>
      </w:r>
    </w:p>
    <w:p w14:paraId="6E926A49" w14:textId="77777777" w:rsidR="00956B0C" w:rsidRPr="00CB1BCD" w:rsidRDefault="00956B0C" w:rsidP="001C71C2">
      <w:pPr>
        <w:rPr>
          <w:rFonts w:cs="Times New Roman"/>
          <w:lang w:val="es-MX"/>
        </w:rPr>
      </w:pPr>
    </w:p>
    <w:p w14:paraId="2048DE64" w14:textId="5B1FB8A4" w:rsidR="00F700C5" w:rsidRPr="00CB1BCD" w:rsidRDefault="00000000" w:rsidP="001C71C2">
      <w:pPr>
        <w:rPr>
          <w:rFonts w:cs="Times New Roman"/>
          <w:lang w:val="es-MX"/>
        </w:rPr>
      </w:pPr>
      <m:oMathPara>
        <m:oMath>
          <m:sSup>
            <m:sSupPr>
              <m:ctrlPr>
                <w:rPr>
                  <w:rFonts w:ascii="Cambria Math" w:hAnsi="Cambria Math" w:cs="Times New Roman"/>
                  <w:lang w:val="es-MX"/>
                </w:rPr>
              </m:ctrlPr>
            </m:sSupPr>
            <m:e>
              <m:r>
                <w:rPr>
                  <w:rFonts w:ascii="Cambria Math" w:hAnsi="Cambria Math" w:cs="Times New Roman"/>
                  <w:lang w:val="es-MX"/>
                </w:rPr>
                <m:t>τ</m:t>
              </m:r>
            </m:e>
            <m:sup>
              <m:r>
                <w:rPr>
                  <w:rFonts w:ascii="Cambria Math" w:hAnsi="Cambria Math" w:cs="Times New Roman"/>
                  <w:lang w:val="es-MX"/>
                </w:rPr>
                <m:t>*</m:t>
              </m:r>
            </m:sup>
          </m:sSup>
          <m:r>
            <w:rPr>
              <w:rFonts w:ascii="Cambria Math" w:hAnsi="Cambria Math" w:cs="Times New Roman"/>
              <w:lang w:val="es-MX"/>
            </w:rPr>
            <m:t>=286.96</m:t>
          </m:r>
          <m:r>
            <m:rPr>
              <m:sty m:val="p"/>
            </m:rPr>
            <w:rPr>
              <w:rFonts w:ascii="Cambria Math" w:hAnsi="Cambria Math" w:cs="Times New Roman"/>
              <w:lang w:val="es-MX"/>
            </w:rPr>
            <m:t xml:space="preserve"> </m:t>
          </m:r>
          <m:sSub>
            <m:sSubPr>
              <m:ctrlPr>
                <w:rPr>
                  <w:rFonts w:ascii="Cambria Math" w:hAnsi="Cambria Math" w:cs="Times New Roman"/>
                  <w:lang w:val="es-MX"/>
                </w:rPr>
              </m:ctrlPr>
            </m:sSubPr>
            <m:e>
              <m:r>
                <m:rPr>
                  <m:nor/>
                </m:rPr>
                <w:rPr>
                  <w:rFonts w:cs="Times New Roman"/>
                  <w:lang w:val="es-MX"/>
                </w:rPr>
                <m:t>USD/tCO</m:t>
              </m:r>
            </m:e>
            <m:sub>
              <m:r>
                <w:rPr>
                  <w:rFonts w:ascii="Cambria Math" w:hAnsi="Cambria Math" w:cs="Times New Roman"/>
                  <w:lang w:val="es-MX"/>
                </w:rPr>
                <m:t>2</m:t>
              </m:r>
            </m:sub>
          </m:sSub>
        </m:oMath>
      </m:oMathPara>
    </w:p>
    <w:p w14:paraId="390B6AAD" w14:textId="3EA62EE1" w:rsidR="00E97B70" w:rsidRDefault="00361667" w:rsidP="001C71C2">
      <w:pPr>
        <w:rPr>
          <w:rFonts w:cs="Times New Roman"/>
          <w:lang w:val="es-MX"/>
        </w:rPr>
      </w:pPr>
      <w:r w:rsidRPr="00CB1BCD">
        <w:rPr>
          <w:rFonts w:cs="Times New Roman"/>
        </w:rPr>
        <w:t xml:space="preserve">Este valor corresponde al máximo recaudatorio interno del modelo. </w:t>
      </w:r>
      <w:r w:rsidR="0010290C" w:rsidRPr="00CB1BCD">
        <w:rPr>
          <w:rFonts w:cs="Times New Roman"/>
        </w:rPr>
        <w:t xml:space="preserve">No representa una recomendación fiscal, un precio pigouviano, una estimación causal ni un pronóstico de recaudación, sino el punto en el </w:t>
      </w:r>
      <w:r w:rsidR="0010290C" w:rsidRPr="00CB1BCD">
        <w:rPr>
          <w:rFonts w:cs="Times New Roman"/>
        </w:rPr>
        <w:lastRenderedPageBreak/>
        <w:t>cual, bajo la función calibrada, la reducción de la base contaminante comienza a dominar el efecto aritmético del incremento del precio</w:t>
      </w:r>
      <w:r w:rsidR="00F700C5" w:rsidRPr="00CB1BCD">
        <w:rPr>
          <w:rFonts w:cs="Times New Roman"/>
          <w:lang w:val="es-MX"/>
        </w:rPr>
        <w:t>.</w:t>
      </w:r>
    </w:p>
    <w:p w14:paraId="7BE380B8" w14:textId="77777777" w:rsidR="00956B0C" w:rsidRPr="00CB1BCD" w:rsidRDefault="00956B0C" w:rsidP="001C71C2">
      <w:pPr>
        <w:rPr>
          <w:rFonts w:cs="Times New Roman"/>
          <w:lang w:val="es-MX"/>
        </w:rPr>
      </w:pPr>
    </w:p>
    <w:p w14:paraId="0D61FF10" w14:textId="15BF6B23" w:rsidR="000D5A3D" w:rsidRPr="001C71C2" w:rsidRDefault="00690012" w:rsidP="001C71C2">
      <w:pPr>
        <w:pStyle w:val="Ttulo1"/>
        <w:spacing w:line="360" w:lineRule="auto"/>
        <w:jc w:val="center"/>
        <w:rPr>
          <w:rFonts w:cs="Times New Roman"/>
          <w:b/>
          <w:color w:val="auto"/>
          <w:sz w:val="32"/>
          <w:szCs w:val="32"/>
          <w:lang w:val="es-ES_tradnl"/>
        </w:rPr>
      </w:pPr>
      <w:bookmarkStart w:id="5" w:name="OLE_LINK4"/>
      <w:r w:rsidRPr="001C71C2">
        <w:rPr>
          <w:rFonts w:cs="Times New Roman"/>
          <w:b/>
          <w:color w:val="auto"/>
          <w:sz w:val="32"/>
          <w:szCs w:val="32"/>
          <w:lang w:val="es-ES_tradnl"/>
        </w:rPr>
        <w:t>Resultados</w:t>
      </w:r>
    </w:p>
    <w:p w14:paraId="11BD59B0" w14:textId="77777777" w:rsidR="00956B0C" w:rsidRPr="00956B0C" w:rsidRDefault="00956B0C" w:rsidP="001C71C2">
      <w:pPr>
        <w:rPr>
          <w:lang w:val="es-ES_tradnl"/>
        </w:rPr>
      </w:pPr>
    </w:p>
    <w:p w14:paraId="0371D1CB" w14:textId="4ED4E6CE" w:rsidR="00922C55" w:rsidRPr="00CB1BCD" w:rsidRDefault="00922C55" w:rsidP="001C71C2">
      <w:pPr>
        <w:ind w:firstLine="708"/>
        <w:rPr>
          <w:rFonts w:cs="Times New Roman"/>
          <w:lang w:val="es-MX"/>
        </w:rPr>
      </w:pPr>
      <w:r w:rsidRPr="00CB1BCD">
        <w:rPr>
          <w:rFonts w:cs="Times New Roman"/>
          <w:lang w:val="es-MX"/>
        </w:rPr>
        <w:t xml:space="preserve">La simulación permitió estimar </w:t>
      </w:r>
      <w:r w:rsidR="00361667" w:rsidRPr="00CB1BCD">
        <w:rPr>
          <w:rFonts w:cs="Times New Roman"/>
          <w:lang w:val="es-MX"/>
        </w:rPr>
        <w:t>la trayectoria</w:t>
      </w:r>
      <w:r w:rsidRPr="00CB1BCD">
        <w:rPr>
          <w:rFonts w:cs="Times New Roman"/>
          <w:lang w:val="es-MX"/>
        </w:rPr>
        <w:t xml:space="preserve"> de emisiones, recaudación</w:t>
      </w:r>
      <w:r w:rsidR="00361667" w:rsidRPr="00CB1BCD">
        <w:rPr>
          <w:rFonts w:cs="Times New Roman"/>
          <w:lang w:val="es-MX"/>
        </w:rPr>
        <w:t xml:space="preserve"> potencial</w:t>
      </w:r>
      <w:r w:rsidRPr="00CB1BCD">
        <w:rPr>
          <w:rFonts w:cs="Times New Roman"/>
          <w:lang w:val="es-MX"/>
        </w:rPr>
        <w:t xml:space="preserve"> y el bienestar parcial bajo distintos precios al carbono. </w:t>
      </w:r>
      <w:r w:rsidR="00361667" w:rsidRPr="00CB1BCD">
        <w:rPr>
          <w:rFonts w:cs="Times New Roman"/>
          <w:lang w:val="es-MX"/>
        </w:rPr>
        <w:t>A partir del</w:t>
      </w:r>
      <w:r w:rsidRPr="00CB1BCD">
        <w:rPr>
          <w:rFonts w:cs="Times New Roman"/>
          <w:lang w:val="es-MX"/>
        </w:rPr>
        <w:t xml:space="preserve"> escenario</w:t>
      </w:r>
      <w:r w:rsidR="00361667" w:rsidRPr="00CB1BCD">
        <w:rPr>
          <w:rFonts w:cs="Times New Roman"/>
          <w:lang w:val="es-MX"/>
        </w:rPr>
        <w:t xml:space="preserve"> de calibración</w:t>
      </w:r>
      <w:r w:rsidRPr="00CB1BCD">
        <w:rPr>
          <w:rFonts w:cs="Times New Roman"/>
          <w:lang w:val="es-MX"/>
        </w:rPr>
        <w:t xml:space="preserve"> </w:t>
      </w:r>
      <w:r w:rsidR="00361667" w:rsidRPr="00CB1BCD">
        <w:rPr>
          <w:rFonts w:cs="Times New Roman"/>
          <w:lang w:val="es-MX"/>
        </w:rPr>
        <w:t>se obtuvo</w:t>
      </w:r>
      <w:r w:rsidRPr="00CB1BCD">
        <w:rPr>
          <w:rFonts w:cs="Times New Roman"/>
          <w:lang w:val="es-MX"/>
        </w:rPr>
        <w:t xml:space="preserve"> una base contaminante inicial de 450.22 MtCO₂ y un parámetro de respuesta </w:t>
      </w:r>
      <m:oMath>
        <m:r>
          <w:rPr>
            <w:rFonts w:ascii="Cambria Math" w:hAnsi="Cambria Math" w:cs="Times New Roman"/>
            <w:lang w:val="es-MX"/>
          </w:rPr>
          <m:t>k=0.003485</m:t>
        </m:r>
      </m:oMath>
      <w:r w:rsidR="00361667" w:rsidRPr="00CB1BCD">
        <w:rPr>
          <w:rFonts w:cs="Times New Roman"/>
          <w:lang w:val="es-MX"/>
        </w:rPr>
        <w:t>, valores que permitieron con</w:t>
      </w:r>
      <w:r w:rsidR="00CD10F2" w:rsidRPr="00CB1BCD">
        <w:rPr>
          <w:rFonts w:cs="Times New Roman"/>
          <w:lang w:val="es-MX"/>
        </w:rPr>
        <w:t>s</w:t>
      </w:r>
      <w:r w:rsidR="00361667" w:rsidRPr="00CB1BCD">
        <w:rPr>
          <w:rFonts w:cs="Times New Roman"/>
          <w:lang w:val="es-MX"/>
        </w:rPr>
        <w:t>truir la función de emisiones y la Curva de Laffer ambiental simulada.</w:t>
      </w:r>
    </w:p>
    <w:p w14:paraId="64D3D86D" w14:textId="77777777" w:rsidR="00956B0C" w:rsidRDefault="00956B0C" w:rsidP="001C71C2">
      <w:pPr>
        <w:rPr>
          <w:rFonts w:cs="Times New Roman"/>
          <w:lang w:val="es-MX"/>
        </w:rPr>
      </w:pPr>
    </w:p>
    <w:p w14:paraId="4089FD3D" w14:textId="28266A97" w:rsidR="00922C55" w:rsidRDefault="00922C55" w:rsidP="001C71C2">
      <w:pPr>
        <w:rPr>
          <w:rFonts w:cs="Times New Roman"/>
          <w:lang w:val="es-MX"/>
        </w:rPr>
      </w:pPr>
      <w:r w:rsidRPr="00CB1BCD">
        <w:rPr>
          <w:rFonts w:cs="Times New Roman"/>
          <w:lang w:val="es-MX"/>
        </w:rPr>
        <w:t xml:space="preserve">La Tabla 2 presenta los resultados principales para tres escenarios de precio al carbono: 25, 50 y 75 USD/tCO₂. El escenario </w:t>
      </w:r>
      <w:r w:rsidR="00C6683E" w:rsidRPr="00CB1BCD">
        <w:rPr>
          <w:rFonts w:cs="Times New Roman"/>
          <w:lang w:val="es-MX"/>
        </w:rPr>
        <w:t>de 25 USD/tCO₂</w:t>
      </w:r>
      <w:r w:rsidRPr="00CB1BCD">
        <w:rPr>
          <w:rFonts w:cs="Times New Roman"/>
          <w:lang w:val="es-MX"/>
        </w:rPr>
        <w:t xml:space="preserve"> reduce las emisiones en 8.34% y genera una recaudación potencial de 10,316.32 millones de dólares. El escenario </w:t>
      </w:r>
      <w:r w:rsidR="00C6683E" w:rsidRPr="00CB1BCD">
        <w:rPr>
          <w:rFonts w:cs="Times New Roman"/>
          <w:lang w:val="es-MX"/>
        </w:rPr>
        <w:t>de 50 USD/tCO₂</w:t>
      </w:r>
      <w:r w:rsidRPr="00CB1BCD">
        <w:rPr>
          <w:rFonts w:cs="Times New Roman"/>
          <w:lang w:val="es-MX"/>
        </w:rPr>
        <w:t xml:space="preserve"> reduce las emisiones en 15.99% y eleva la recaudación a 18,911.18 millones de dólares. El escenario </w:t>
      </w:r>
      <w:r w:rsidR="00C6683E" w:rsidRPr="00CB1BCD">
        <w:rPr>
          <w:rFonts w:cs="Times New Roman"/>
          <w:lang w:val="es-MX"/>
        </w:rPr>
        <w:t>ancla de 75 USD/tCO₂</w:t>
      </w:r>
      <w:r w:rsidRPr="00CB1BCD">
        <w:rPr>
          <w:rFonts w:cs="Times New Roman"/>
          <w:lang w:val="es-MX"/>
        </w:rPr>
        <w:t xml:space="preserve"> reproduce el punto de calibración, con emisiones remanentes de 346.67 MtCO₂, emisiones evitadas de 103.55 MtCO₂ y una recaudación de 26,000 millones de dólares.</w:t>
      </w:r>
    </w:p>
    <w:p w14:paraId="07832B8E" w14:textId="77777777" w:rsidR="00956B0C" w:rsidRPr="00CB1BCD" w:rsidRDefault="00956B0C" w:rsidP="001C71C2">
      <w:pPr>
        <w:rPr>
          <w:rFonts w:cs="Times New Roman"/>
          <w:lang w:val="es-MX"/>
        </w:rPr>
      </w:pPr>
    </w:p>
    <w:p w14:paraId="00A060B9" w14:textId="74DA391A" w:rsidR="00922C55" w:rsidRPr="00CB1BCD" w:rsidRDefault="00922C55" w:rsidP="001C71C2">
      <w:pPr>
        <w:pStyle w:val="Descripcin"/>
        <w:keepNext/>
        <w:rPr>
          <w:rFonts w:cs="Times New Roman"/>
          <w:b w:val="0"/>
          <w:lang w:val="es-MX"/>
        </w:rPr>
      </w:pPr>
      <w:r w:rsidRPr="00CB1BCD">
        <w:rPr>
          <w:rFonts w:cs="Times New Roman"/>
          <w:i w:val="0"/>
          <w:color w:val="auto"/>
        </w:rPr>
        <w:t xml:space="preserve">Tabla </w:t>
      </w:r>
      <w:r w:rsidRPr="00CB1BCD">
        <w:rPr>
          <w:rFonts w:cs="Times New Roman"/>
          <w:i w:val="0"/>
          <w:color w:val="auto"/>
        </w:rPr>
        <w:fldChar w:fldCharType="begin"/>
      </w:r>
      <w:r w:rsidRPr="00CB1BCD">
        <w:rPr>
          <w:rFonts w:cs="Times New Roman"/>
          <w:i w:val="0"/>
          <w:color w:val="auto"/>
        </w:rPr>
        <w:instrText xml:space="preserve"> SEQ Tabla \* ARABIC </w:instrText>
      </w:r>
      <w:r w:rsidRPr="00CB1BCD">
        <w:rPr>
          <w:rFonts w:cs="Times New Roman"/>
          <w:i w:val="0"/>
          <w:color w:val="auto"/>
        </w:rPr>
        <w:fldChar w:fldCharType="separate"/>
      </w:r>
      <w:r w:rsidR="003A49E0">
        <w:rPr>
          <w:rFonts w:cs="Times New Roman"/>
          <w:i w:val="0"/>
          <w:noProof/>
          <w:color w:val="auto"/>
        </w:rPr>
        <w:t>2</w:t>
      </w:r>
      <w:r w:rsidRPr="00CB1BCD">
        <w:rPr>
          <w:rFonts w:cs="Times New Roman"/>
          <w:i w:val="0"/>
          <w:color w:val="auto"/>
        </w:rPr>
        <w:fldChar w:fldCharType="end"/>
      </w:r>
      <w:r w:rsidRPr="00CB1BCD">
        <w:rPr>
          <w:rFonts w:cs="Times New Roman"/>
          <w:i w:val="0"/>
          <w:color w:val="auto"/>
        </w:rPr>
        <w:t>.</w:t>
      </w:r>
      <w:r w:rsidRPr="00CB1BCD">
        <w:rPr>
          <w:rFonts w:cs="Times New Roman"/>
          <w:color w:val="auto"/>
        </w:rPr>
        <w:t xml:space="preserve"> </w:t>
      </w:r>
      <w:r w:rsidRPr="00CB1BCD">
        <w:rPr>
          <w:rFonts w:cs="Times New Roman"/>
          <w:b w:val="0"/>
        </w:rPr>
        <w:t>Emisiones, reducción ambiental y recaudación potencial bajo escenarios de precio al carbono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1398"/>
        <w:gridCol w:w="1418"/>
        <w:gridCol w:w="1417"/>
        <w:gridCol w:w="1985"/>
        <w:gridCol w:w="1744"/>
      </w:tblGrid>
      <w:tr w:rsidR="00922C55" w:rsidRPr="00CB1BCD" w14:paraId="6AB85D73" w14:textId="77777777" w:rsidTr="00EA1F82">
        <w:trPr>
          <w:trHeight w:val="340"/>
          <w:jc w:val="center"/>
        </w:trPr>
        <w:tc>
          <w:tcPr>
            <w:tcW w:w="1565" w:type="dxa"/>
            <w:tcBorders>
              <w:top w:val="single" w:sz="4" w:space="0" w:color="auto"/>
              <w:bottom w:val="single" w:sz="4" w:space="0" w:color="auto"/>
            </w:tcBorders>
            <w:vAlign w:val="center"/>
          </w:tcPr>
          <w:p w14:paraId="2D5BF1E5" w14:textId="2B13E12E" w:rsidR="00922C55" w:rsidRPr="00CB1BCD" w:rsidRDefault="00922C55" w:rsidP="001C71C2">
            <w:pPr>
              <w:jc w:val="center"/>
              <w:rPr>
                <w:rFonts w:cs="Times New Roman"/>
                <w:b/>
                <w:bCs/>
                <w:lang w:val="es-MX"/>
              </w:rPr>
            </w:pPr>
            <w:r w:rsidRPr="00CB1BCD">
              <w:rPr>
                <w:rFonts w:cs="Times New Roman"/>
                <w:b/>
                <w:bCs/>
                <w:lang w:val="es-MX"/>
              </w:rPr>
              <w:t>Precio al carbono (USD/tCO</w:t>
            </w:r>
            <w:r w:rsidRPr="00CB1BCD">
              <w:rPr>
                <w:rFonts w:cs="Times New Roman"/>
                <w:b/>
                <w:bCs/>
                <w:vertAlign w:val="subscript"/>
                <w:lang w:val="es-MX"/>
              </w:rPr>
              <w:t>2</w:t>
            </w:r>
            <w:r w:rsidRPr="00CB1BCD">
              <w:rPr>
                <w:rFonts w:cs="Times New Roman"/>
                <w:b/>
                <w:bCs/>
                <w:lang w:val="es-MX"/>
              </w:rPr>
              <w:t>)</w:t>
            </w:r>
          </w:p>
        </w:tc>
        <w:tc>
          <w:tcPr>
            <w:tcW w:w="1265" w:type="dxa"/>
            <w:tcBorders>
              <w:top w:val="single" w:sz="4" w:space="0" w:color="auto"/>
              <w:bottom w:val="single" w:sz="4" w:space="0" w:color="auto"/>
            </w:tcBorders>
            <w:vAlign w:val="center"/>
          </w:tcPr>
          <w:p w14:paraId="3B5BAF31" w14:textId="718B8218" w:rsidR="00922C55" w:rsidRPr="00CB1BCD" w:rsidRDefault="00922C55" w:rsidP="001C71C2">
            <w:pPr>
              <w:jc w:val="center"/>
              <w:rPr>
                <w:rFonts w:cs="Times New Roman"/>
                <w:b/>
                <w:bCs/>
                <w:lang w:val="es-MX"/>
              </w:rPr>
            </w:pPr>
            <w:r w:rsidRPr="00CB1BCD">
              <w:rPr>
                <w:rFonts w:cs="Times New Roman"/>
                <w:b/>
                <w:bCs/>
                <w:lang w:val="es-MX"/>
              </w:rPr>
              <w:t>Emisione</w:t>
            </w:r>
            <w:r w:rsidR="00622B51" w:rsidRPr="00CB1BCD">
              <w:rPr>
                <w:rFonts w:cs="Times New Roman"/>
                <w:b/>
                <w:bCs/>
                <w:lang w:val="es-MX"/>
              </w:rPr>
              <w:t>s</w:t>
            </w:r>
            <w:r w:rsidRPr="00CB1BCD">
              <w:rPr>
                <w:rFonts w:cs="Times New Roman"/>
                <w:b/>
                <w:bCs/>
                <w:lang w:val="es-MX"/>
              </w:rPr>
              <w:t xml:space="preserve"> remanentes (MtCO</w:t>
            </w:r>
            <w:r w:rsidRPr="00CB1BCD">
              <w:rPr>
                <w:rFonts w:cs="Times New Roman"/>
                <w:b/>
                <w:bCs/>
                <w:vertAlign w:val="subscript"/>
                <w:lang w:val="es-MX"/>
              </w:rPr>
              <w:t>2</w:t>
            </w:r>
            <w:r w:rsidRPr="00CB1BCD">
              <w:rPr>
                <w:rFonts w:cs="Times New Roman"/>
                <w:b/>
                <w:bCs/>
                <w:lang w:val="es-MX"/>
              </w:rPr>
              <w:t>)</w:t>
            </w:r>
          </w:p>
        </w:tc>
        <w:tc>
          <w:tcPr>
            <w:tcW w:w="1418" w:type="dxa"/>
            <w:tcBorders>
              <w:top w:val="single" w:sz="4" w:space="0" w:color="auto"/>
              <w:bottom w:val="single" w:sz="4" w:space="0" w:color="auto"/>
            </w:tcBorders>
            <w:vAlign w:val="center"/>
          </w:tcPr>
          <w:p w14:paraId="475CABD7" w14:textId="63948005" w:rsidR="00922C55" w:rsidRPr="00CB1BCD" w:rsidRDefault="00922C55" w:rsidP="001C71C2">
            <w:pPr>
              <w:jc w:val="center"/>
              <w:rPr>
                <w:rFonts w:cs="Times New Roman"/>
                <w:b/>
                <w:bCs/>
                <w:lang w:val="es-MX"/>
              </w:rPr>
            </w:pPr>
            <w:r w:rsidRPr="00CB1BCD">
              <w:rPr>
                <w:rFonts w:cs="Times New Roman"/>
                <w:b/>
                <w:bCs/>
                <w:lang w:val="es-MX"/>
              </w:rPr>
              <w:t>Emisiones evitadas (MtCO</w:t>
            </w:r>
            <w:r w:rsidRPr="00CB1BCD">
              <w:rPr>
                <w:rFonts w:cs="Times New Roman"/>
                <w:b/>
                <w:bCs/>
                <w:vertAlign w:val="subscript"/>
                <w:lang w:val="es-MX"/>
              </w:rPr>
              <w:t>2</w:t>
            </w:r>
            <w:r w:rsidRPr="00CB1BCD">
              <w:rPr>
                <w:rFonts w:cs="Times New Roman"/>
                <w:b/>
                <w:bCs/>
                <w:lang w:val="es-MX"/>
              </w:rPr>
              <w:t>)</w:t>
            </w:r>
          </w:p>
        </w:tc>
        <w:tc>
          <w:tcPr>
            <w:tcW w:w="1417" w:type="dxa"/>
            <w:tcBorders>
              <w:top w:val="single" w:sz="4" w:space="0" w:color="auto"/>
              <w:bottom w:val="single" w:sz="4" w:space="0" w:color="auto"/>
            </w:tcBorders>
            <w:vAlign w:val="center"/>
          </w:tcPr>
          <w:p w14:paraId="4939240E" w14:textId="15392E42" w:rsidR="00922C55" w:rsidRPr="00CB1BCD" w:rsidRDefault="00922C55" w:rsidP="001C71C2">
            <w:pPr>
              <w:jc w:val="center"/>
              <w:rPr>
                <w:rFonts w:cs="Times New Roman"/>
                <w:b/>
                <w:bCs/>
                <w:lang w:val="es-MX"/>
              </w:rPr>
            </w:pPr>
            <w:r w:rsidRPr="00CB1BCD">
              <w:rPr>
                <w:rFonts w:cs="Times New Roman"/>
                <w:b/>
                <w:bCs/>
                <w:lang w:val="es-MX"/>
              </w:rPr>
              <w:t>Reducción de emisiones (%)</w:t>
            </w:r>
          </w:p>
        </w:tc>
        <w:tc>
          <w:tcPr>
            <w:tcW w:w="1985" w:type="dxa"/>
            <w:tcBorders>
              <w:top w:val="single" w:sz="4" w:space="0" w:color="auto"/>
              <w:bottom w:val="single" w:sz="4" w:space="0" w:color="auto"/>
            </w:tcBorders>
            <w:vAlign w:val="center"/>
          </w:tcPr>
          <w:p w14:paraId="30291BD5" w14:textId="0F329674" w:rsidR="00922C55" w:rsidRPr="00CB1BCD" w:rsidRDefault="00922C55" w:rsidP="001C71C2">
            <w:pPr>
              <w:jc w:val="center"/>
              <w:rPr>
                <w:rFonts w:cs="Times New Roman"/>
                <w:b/>
                <w:bCs/>
                <w:lang w:val="es-MX"/>
              </w:rPr>
            </w:pPr>
            <w:r w:rsidRPr="00CB1BCD">
              <w:rPr>
                <w:rFonts w:cs="Times New Roman"/>
                <w:b/>
                <w:bCs/>
                <w:lang w:val="es-MX"/>
              </w:rPr>
              <w:t>Recaudación potencial (millones de USD)</w:t>
            </w:r>
          </w:p>
        </w:tc>
        <w:tc>
          <w:tcPr>
            <w:tcW w:w="1744" w:type="dxa"/>
            <w:tcBorders>
              <w:top w:val="single" w:sz="4" w:space="0" w:color="auto"/>
              <w:bottom w:val="single" w:sz="4" w:space="0" w:color="auto"/>
            </w:tcBorders>
            <w:vAlign w:val="center"/>
          </w:tcPr>
          <w:p w14:paraId="341D7FB0" w14:textId="05FFE267" w:rsidR="00922C55" w:rsidRPr="00CB1BCD" w:rsidRDefault="00922C55" w:rsidP="001C71C2">
            <w:pPr>
              <w:jc w:val="center"/>
              <w:rPr>
                <w:rFonts w:cs="Times New Roman"/>
                <w:b/>
                <w:bCs/>
                <w:lang w:val="es-MX"/>
              </w:rPr>
            </w:pPr>
            <w:r w:rsidRPr="00CB1BCD">
              <w:rPr>
                <w:rFonts w:cs="Times New Roman"/>
                <w:b/>
                <w:bCs/>
                <w:lang w:val="es-MX"/>
              </w:rPr>
              <w:t xml:space="preserve">Recaudación potencial (% </w:t>
            </w:r>
            <w:r w:rsidR="001C7E7D" w:rsidRPr="00CB1BCD">
              <w:rPr>
                <w:rFonts w:cs="Times New Roman"/>
                <w:b/>
                <w:bCs/>
                <w:lang w:val="es-MX"/>
              </w:rPr>
              <w:t xml:space="preserve">del </w:t>
            </w:r>
            <w:r w:rsidRPr="00CB1BCD">
              <w:rPr>
                <w:rFonts w:cs="Times New Roman"/>
                <w:b/>
                <w:bCs/>
                <w:lang w:val="es-MX"/>
              </w:rPr>
              <w:t>PIB)</w:t>
            </w:r>
          </w:p>
        </w:tc>
      </w:tr>
      <w:tr w:rsidR="00922C55" w:rsidRPr="00CB1BCD" w14:paraId="65BE4709" w14:textId="77777777" w:rsidTr="00EA1F82">
        <w:trPr>
          <w:trHeight w:val="340"/>
          <w:jc w:val="center"/>
        </w:trPr>
        <w:tc>
          <w:tcPr>
            <w:tcW w:w="1565" w:type="dxa"/>
            <w:tcBorders>
              <w:top w:val="single" w:sz="4" w:space="0" w:color="auto"/>
            </w:tcBorders>
            <w:vAlign w:val="center"/>
          </w:tcPr>
          <w:p w14:paraId="3DE5EECD" w14:textId="39CA6CB2" w:rsidR="00922C55" w:rsidRPr="00CB1BCD" w:rsidRDefault="00922C55" w:rsidP="001C71C2">
            <w:pPr>
              <w:jc w:val="center"/>
              <w:rPr>
                <w:rFonts w:cs="Times New Roman"/>
                <w:lang w:val="es-MX"/>
              </w:rPr>
            </w:pPr>
            <w:r w:rsidRPr="00CB1BCD">
              <w:rPr>
                <w:rFonts w:cs="Times New Roman"/>
                <w:lang w:val="es-MX"/>
              </w:rPr>
              <w:t>25</w:t>
            </w:r>
          </w:p>
        </w:tc>
        <w:tc>
          <w:tcPr>
            <w:tcW w:w="1265" w:type="dxa"/>
            <w:tcBorders>
              <w:top w:val="single" w:sz="4" w:space="0" w:color="auto"/>
            </w:tcBorders>
            <w:vAlign w:val="center"/>
          </w:tcPr>
          <w:p w14:paraId="39070923" w14:textId="2A6F83F8" w:rsidR="00922C55" w:rsidRPr="00CB1BCD" w:rsidRDefault="00922C55" w:rsidP="001C71C2">
            <w:pPr>
              <w:jc w:val="center"/>
              <w:rPr>
                <w:rFonts w:cs="Times New Roman"/>
                <w:lang w:val="es-MX"/>
              </w:rPr>
            </w:pPr>
            <w:r w:rsidRPr="00CB1BCD">
              <w:rPr>
                <w:rFonts w:cs="Times New Roman"/>
                <w:lang w:val="es-MX"/>
              </w:rPr>
              <w:t>412.65</w:t>
            </w:r>
          </w:p>
        </w:tc>
        <w:tc>
          <w:tcPr>
            <w:tcW w:w="1418" w:type="dxa"/>
            <w:tcBorders>
              <w:top w:val="single" w:sz="4" w:space="0" w:color="auto"/>
            </w:tcBorders>
            <w:vAlign w:val="center"/>
          </w:tcPr>
          <w:p w14:paraId="5DF6554F" w14:textId="2777DB24" w:rsidR="00922C55" w:rsidRPr="00CB1BCD" w:rsidRDefault="00922C55" w:rsidP="001C71C2">
            <w:pPr>
              <w:jc w:val="center"/>
              <w:rPr>
                <w:rFonts w:cs="Times New Roman"/>
                <w:lang w:val="es-MX"/>
              </w:rPr>
            </w:pPr>
            <w:r w:rsidRPr="00CB1BCD">
              <w:rPr>
                <w:rFonts w:cs="Times New Roman"/>
                <w:lang w:val="es-MX"/>
              </w:rPr>
              <w:t>37.56</w:t>
            </w:r>
          </w:p>
        </w:tc>
        <w:tc>
          <w:tcPr>
            <w:tcW w:w="1417" w:type="dxa"/>
            <w:tcBorders>
              <w:top w:val="single" w:sz="4" w:space="0" w:color="auto"/>
            </w:tcBorders>
            <w:vAlign w:val="center"/>
          </w:tcPr>
          <w:p w14:paraId="4E33B07C" w14:textId="12218F3A" w:rsidR="00922C55" w:rsidRPr="00CB1BCD" w:rsidRDefault="00AF409D" w:rsidP="001C71C2">
            <w:pPr>
              <w:jc w:val="center"/>
              <w:rPr>
                <w:rFonts w:cs="Times New Roman"/>
                <w:lang w:val="es-MX"/>
              </w:rPr>
            </w:pPr>
            <w:r w:rsidRPr="00CB1BCD">
              <w:rPr>
                <w:rFonts w:cs="Times New Roman"/>
                <w:lang w:val="es-MX"/>
              </w:rPr>
              <w:t>8.34</w:t>
            </w:r>
          </w:p>
        </w:tc>
        <w:tc>
          <w:tcPr>
            <w:tcW w:w="1985" w:type="dxa"/>
            <w:tcBorders>
              <w:top w:val="single" w:sz="4" w:space="0" w:color="auto"/>
            </w:tcBorders>
            <w:vAlign w:val="center"/>
          </w:tcPr>
          <w:p w14:paraId="30065765" w14:textId="6ACCA28D" w:rsidR="00922C55" w:rsidRPr="00CB1BCD" w:rsidRDefault="00AF409D" w:rsidP="001C71C2">
            <w:pPr>
              <w:jc w:val="center"/>
              <w:rPr>
                <w:rFonts w:cs="Times New Roman"/>
                <w:lang w:val="es-MX"/>
              </w:rPr>
            </w:pPr>
            <w:r w:rsidRPr="00CB1BCD">
              <w:rPr>
                <w:rFonts w:cs="Times New Roman"/>
                <w:lang w:val="es-MX"/>
              </w:rPr>
              <w:t>10,316.32</w:t>
            </w:r>
          </w:p>
        </w:tc>
        <w:tc>
          <w:tcPr>
            <w:tcW w:w="1744" w:type="dxa"/>
            <w:tcBorders>
              <w:top w:val="single" w:sz="4" w:space="0" w:color="auto"/>
            </w:tcBorders>
            <w:vAlign w:val="center"/>
          </w:tcPr>
          <w:p w14:paraId="7E538911" w14:textId="02B49919" w:rsidR="00922C55" w:rsidRPr="00CB1BCD" w:rsidRDefault="00AF409D" w:rsidP="001C71C2">
            <w:pPr>
              <w:jc w:val="center"/>
              <w:rPr>
                <w:rFonts w:cs="Times New Roman"/>
                <w:lang w:val="es-MX"/>
              </w:rPr>
            </w:pPr>
            <w:r w:rsidRPr="00CB1BCD">
              <w:rPr>
                <w:rFonts w:cs="Times New Roman"/>
                <w:lang w:val="es-MX"/>
              </w:rPr>
              <w:t>0.71</w:t>
            </w:r>
          </w:p>
        </w:tc>
      </w:tr>
      <w:tr w:rsidR="00922C55" w:rsidRPr="00CB1BCD" w14:paraId="2BCB5221" w14:textId="77777777" w:rsidTr="00EA1F82">
        <w:trPr>
          <w:trHeight w:val="340"/>
          <w:jc w:val="center"/>
        </w:trPr>
        <w:tc>
          <w:tcPr>
            <w:tcW w:w="1565" w:type="dxa"/>
            <w:vAlign w:val="center"/>
          </w:tcPr>
          <w:p w14:paraId="4FB819D5" w14:textId="3A1C36C8" w:rsidR="00922C55" w:rsidRPr="00CB1BCD" w:rsidRDefault="00922C55" w:rsidP="001C71C2">
            <w:pPr>
              <w:jc w:val="center"/>
              <w:rPr>
                <w:rFonts w:cs="Times New Roman"/>
                <w:lang w:val="es-MX"/>
              </w:rPr>
            </w:pPr>
            <w:r w:rsidRPr="00CB1BCD">
              <w:rPr>
                <w:rFonts w:cs="Times New Roman"/>
                <w:lang w:val="es-MX"/>
              </w:rPr>
              <w:t>50</w:t>
            </w:r>
          </w:p>
        </w:tc>
        <w:tc>
          <w:tcPr>
            <w:tcW w:w="1265" w:type="dxa"/>
            <w:vAlign w:val="center"/>
          </w:tcPr>
          <w:p w14:paraId="64C3D9FE" w14:textId="7DBF6861" w:rsidR="00922C55" w:rsidRPr="00CB1BCD" w:rsidRDefault="00922C55" w:rsidP="001C71C2">
            <w:pPr>
              <w:jc w:val="center"/>
              <w:rPr>
                <w:rFonts w:cs="Times New Roman"/>
                <w:lang w:val="es-MX"/>
              </w:rPr>
            </w:pPr>
            <w:r w:rsidRPr="00CB1BCD">
              <w:rPr>
                <w:rFonts w:cs="Times New Roman"/>
                <w:lang w:val="es-MX"/>
              </w:rPr>
              <w:t>378.22</w:t>
            </w:r>
          </w:p>
        </w:tc>
        <w:tc>
          <w:tcPr>
            <w:tcW w:w="1418" w:type="dxa"/>
            <w:vAlign w:val="center"/>
          </w:tcPr>
          <w:p w14:paraId="488EC867" w14:textId="48B00299" w:rsidR="00922C55" w:rsidRPr="00CB1BCD" w:rsidRDefault="00922C55" w:rsidP="001C71C2">
            <w:pPr>
              <w:jc w:val="center"/>
              <w:rPr>
                <w:rFonts w:cs="Times New Roman"/>
                <w:lang w:val="es-MX"/>
              </w:rPr>
            </w:pPr>
            <w:r w:rsidRPr="00CB1BCD">
              <w:rPr>
                <w:rFonts w:cs="Times New Roman"/>
                <w:lang w:val="es-MX"/>
              </w:rPr>
              <w:t>71.99</w:t>
            </w:r>
          </w:p>
        </w:tc>
        <w:tc>
          <w:tcPr>
            <w:tcW w:w="1417" w:type="dxa"/>
            <w:vAlign w:val="center"/>
          </w:tcPr>
          <w:p w14:paraId="28AAFD2C" w14:textId="2D8CB24E" w:rsidR="00922C55" w:rsidRPr="00CB1BCD" w:rsidRDefault="00AF409D" w:rsidP="001C71C2">
            <w:pPr>
              <w:jc w:val="center"/>
              <w:rPr>
                <w:rFonts w:cs="Times New Roman"/>
                <w:lang w:val="es-MX"/>
              </w:rPr>
            </w:pPr>
            <w:r w:rsidRPr="00CB1BCD">
              <w:rPr>
                <w:rFonts w:cs="Times New Roman"/>
                <w:lang w:val="es-MX"/>
              </w:rPr>
              <w:t>15.99</w:t>
            </w:r>
          </w:p>
        </w:tc>
        <w:tc>
          <w:tcPr>
            <w:tcW w:w="1985" w:type="dxa"/>
            <w:vAlign w:val="center"/>
          </w:tcPr>
          <w:p w14:paraId="42BF4E16" w14:textId="7F7BC51D" w:rsidR="00922C55" w:rsidRPr="00CB1BCD" w:rsidRDefault="00AF409D" w:rsidP="001C71C2">
            <w:pPr>
              <w:jc w:val="center"/>
              <w:rPr>
                <w:rFonts w:cs="Times New Roman"/>
                <w:lang w:val="es-MX"/>
              </w:rPr>
            </w:pPr>
            <w:r w:rsidRPr="00CB1BCD">
              <w:rPr>
                <w:rFonts w:cs="Times New Roman"/>
                <w:lang w:val="es-MX"/>
              </w:rPr>
              <w:t>18,911.18</w:t>
            </w:r>
          </w:p>
        </w:tc>
        <w:tc>
          <w:tcPr>
            <w:tcW w:w="1744" w:type="dxa"/>
            <w:vAlign w:val="center"/>
          </w:tcPr>
          <w:p w14:paraId="4023784F" w14:textId="0AF27D79" w:rsidR="00922C55" w:rsidRPr="00CB1BCD" w:rsidRDefault="00AF409D" w:rsidP="001C71C2">
            <w:pPr>
              <w:jc w:val="center"/>
              <w:rPr>
                <w:rFonts w:cs="Times New Roman"/>
                <w:lang w:val="es-MX"/>
              </w:rPr>
            </w:pPr>
            <w:r w:rsidRPr="00CB1BCD">
              <w:rPr>
                <w:rFonts w:cs="Times New Roman"/>
                <w:lang w:val="es-MX"/>
              </w:rPr>
              <w:t>1.31</w:t>
            </w:r>
          </w:p>
        </w:tc>
      </w:tr>
      <w:tr w:rsidR="00922C55" w:rsidRPr="00CB1BCD" w14:paraId="13D62CE3" w14:textId="77777777" w:rsidTr="00EA1F82">
        <w:trPr>
          <w:trHeight w:val="340"/>
          <w:jc w:val="center"/>
        </w:trPr>
        <w:tc>
          <w:tcPr>
            <w:tcW w:w="1565" w:type="dxa"/>
            <w:tcBorders>
              <w:bottom w:val="single" w:sz="4" w:space="0" w:color="auto"/>
            </w:tcBorders>
            <w:vAlign w:val="center"/>
          </w:tcPr>
          <w:p w14:paraId="321A9741" w14:textId="0FCAED3F" w:rsidR="00922C55" w:rsidRPr="00CB1BCD" w:rsidRDefault="00922C55" w:rsidP="001C71C2">
            <w:pPr>
              <w:jc w:val="center"/>
              <w:rPr>
                <w:rFonts w:cs="Times New Roman"/>
                <w:lang w:val="es-MX"/>
              </w:rPr>
            </w:pPr>
            <w:r w:rsidRPr="00CB1BCD">
              <w:rPr>
                <w:rFonts w:cs="Times New Roman"/>
                <w:lang w:val="es-MX"/>
              </w:rPr>
              <w:t>75</w:t>
            </w:r>
          </w:p>
        </w:tc>
        <w:tc>
          <w:tcPr>
            <w:tcW w:w="1265" w:type="dxa"/>
            <w:tcBorders>
              <w:bottom w:val="single" w:sz="4" w:space="0" w:color="auto"/>
            </w:tcBorders>
            <w:vAlign w:val="center"/>
          </w:tcPr>
          <w:p w14:paraId="4129553B" w14:textId="3C99E24E" w:rsidR="00922C55" w:rsidRPr="00CB1BCD" w:rsidRDefault="00922C55" w:rsidP="001C71C2">
            <w:pPr>
              <w:jc w:val="center"/>
              <w:rPr>
                <w:rFonts w:cs="Times New Roman"/>
                <w:lang w:val="es-MX"/>
              </w:rPr>
            </w:pPr>
            <w:r w:rsidRPr="00CB1BCD">
              <w:rPr>
                <w:rFonts w:cs="Times New Roman"/>
                <w:lang w:val="es-MX"/>
              </w:rPr>
              <w:t>346.67</w:t>
            </w:r>
          </w:p>
        </w:tc>
        <w:tc>
          <w:tcPr>
            <w:tcW w:w="1418" w:type="dxa"/>
            <w:tcBorders>
              <w:bottom w:val="single" w:sz="4" w:space="0" w:color="auto"/>
            </w:tcBorders>
            <w:vAlign w:val="center"/>
          </w:tcPr>
          <w:p w14:paraId="69B7903F" w14:textId="1BC4FBE4" w:rsidR="00922C55" w:rsidRPr="00CB1BCD" w:rsidRDefault="00922C55" w:rsidP="001C71C2">
            <w:pPr>
              <w:jc w:val="center"/>
              <w:rPr>
                <w:rFonts w:cs="Times New Roman"/>
                <w:lang w:val="es-MX"/>
              </w:rPr>
            </w:pPr>
            <w:r w:rsidRPr="00CB1BCD">
              <w:rPr>
                <w:rFonts w:cs="Times New Roman"/>
                <w:lang w:val="es-MX"/>
              </w:rPr>
              <w:t>103.55</w:t>
            </w:r>
          </w:p>
        </w:tc>
        <w:tc>
          <w:tcPr>
            <w:tcW w:w="1417" w:type="dxa"/>
            <w:tcBorders>
              <w:bottom w:val="single" w:sz="4" w:space="0" w:color="auto"/>
            </w:tcBorders>
            <w:vAlign w:val="center"/>
          </w:tcPr>
          <w:p w14:paraId="4225BC98" w14:textId="4E323748" w:rsidR="00922C55" w:rsidRPr="00CB1BCD" w:rsidRDefault="00AF409D" w:rsidP="001C71C2">
            <w:pPr>
              <w:jc w:val="center"/>
              <w:rPr>
                <w:rFonts w:cs="Times New Roman"/>
                <w:lang w:val="es-MX"/>
              </w:rPr>
            </w:pPr>
            <w:r w:rsidRPr="00CB1BCD">
              <w:rPr>
                <w:rFonts w:cs="Times New Roman"/>
                <w:lang w:val="es-MX"/>
              </w:rPr>
              <w:t>23.00</w:t>
            </w:r>
          </w:p>
        </w:tc>
        <w:tc>
          <w:tcPr>
            <w:tcW w:w="1985" w:type="dxa"/>
            <w:tcBorders>
              <w:bottom w:val="single" w:sz="4" w:space="0" w:color="auto"/>
            </w:tcBorders>
            <w:vAlign w:val="center"/>
          </w:tcPr>
          <w:p w14:paraId="3CC0E8CA" w14:textId="78004B59" w:rsidR="00922C55" w:rsidRPr="00CB1BCD" w:rsidRDefault="00AF409D" w:rsidP="001C71C2">
            <w:pPr>
              <w:jc w:val="center"/>
              <w:rPr>
                <w:rFonts w:cs="Times New Roman"/>
                <w:lang w:val="es-MX"/>
              </w:rPr>
            </w:pPr>
            <w:r w:rsidRPr="00CB1BCD">
              <w:rPr>
                <w:rFonts w:cs="Times New Roman"/>
                <w:lang w:val="es-MX"/>
              </w:rPr>
              <w:t>26,000.00</w:t>
            </w:r>
          </w:p>
        </w:tc>
        <w:tc>
          <w:tcPr>
            <w:tcW w:w="1744" w:type="dxa"/>
            <w:tcBorders>
              <w:bottom w:val="single" w:sz="4" w:space="0" w:color="auto"/>
            </w:tcBorders>
            <w:vAlign w:val="center"/>
          </w:tcPr>
          <w:p w14:paraId="4FAF517E" w14:textId="771D178B" w:rsidR="00922C55" w:rsidRPr="00CB1BCD" w:rsidRDefault="00AF409D" w:rsidP="001C71C2">
            <w:pPr>
              <w:jc w:val="center"/>
              <w:rPr>
                <w:rFonts w:cs="Times New Roman"/>
                <w:lang w:val="es-MX"/>
              </w:rPr>
            </w:pPr>
            <w:r w:rsidRPr="00CB1BCD">
              <w:rPr>
                <w:rFonts w:cs="Times New Roman"/>
                <w:lang w:val="es-MX"/>
              </w:rPr>
              <w:t>1.80</w:t>
            </w:r>
          </w:p>
        </w:tc>
      </w:tr>
    </w:tbl>
    <w:p w14:paraId="0382BC84" w14:textId="15AD01DE" w:rsidR="000D5A3D" w:rsidRPr="00CB1BCD" w:rsidRDefault="00AF409D" w:rsidP="001C71C2">
      <w:pPr>
        <w:jc w:val="center"/>
        <w:rPr>
          <w:rFonts w:cs="Times New Roman"/>
          <w:lang w:val="es-MX"/>
        </w:rPr>
      </w:pPr>
      <w:r w:rsidRPr="00CB1BCD">
        <w:rPr>
          <w:rFonts w:cs="Times New Roman"/>
          <w:lang w:val="es-MX"/>
        </w:rPr>
        <w:t xml:space="preserve">Fuente: </w:t>
      </w:r>
      <w:r w:rsidR="00622B51" w:rsidRPr="00CB1BCD">
        <w:rPr>
          <w:rFonts w:cs="Times New Roman"/>
          <w:lang w:val="es-MX"/>
        </w:rPr>
        <w:t>e</w:t>
      </w:r>
      <w:r w:rsidRPr="00CB1BCD">
        <w:rPr>
          <w:rFonts w:cs="Times New Roman"/>
          <w:lang w:val="es-MX"/>
        </w:rPr>
        <w:t xml:space="preserve">laboración propia con base en los parámetros calibrados de </w:t>
      </w:r>
      <w:r w:rsidRPr="00CB1BCD">
        <w:rPr>
          <w:rFonts w:cs="Times New Roman"/>
          <w:lang w:val="es-MX"/>
        </w:rPr>
        <w:fldChar w:fldCharType="begin" w:fldLock="1"/>
      </w:r>
      <w:r w:rsidR="00050D78" w:rsidRPr="00CB1BCD">
        <w:rPr>
          <w:rFonts w:cs="Times New Roman"/>
          <w:lang w:val="es-MX"/>
        </w:rPr>
        <w:instrText>ADDIN CSL_CITATION {"citationItems":[{"id":"ITEM-1","itemData":{"DOI":"10.5089/9781513599847.001","ISSN":"1018-5941","abstract":"… However, recycling carbon pricing revenues would offset most of this burden, and targeted transfers could make the reform pro-poor and pro-equity. Additionally, the economic efficiency …","author":[{"dropping-particle":"","family":"Black","given":"Simon","non-dropping-particle":"","parse-names":false,"suffix":""},{"dropping-particle":"","family":"Kirabaeva","given":"Koralai","non-dropping-particle":"","parse-names":false,"suffix":""},{"dropping-particle":"","family":"Parry","given":"Ian","non-dropping-particle":"","parse-names":false,"suffix":""},{"dropping-particle":"","family":"Raissi","given":"Mehdi","non-dropping-particle":"","parse-names":false,"suffix":""},{"dropping-particle":"","family":"Zhunussova","given":"Karlygash","non-dropping-particle":"","parse-names":false,"suffix":""}],"container-title":"IMF Working Papers","id":"ITEM-1","issue":"246","issued":{"date-parts":[["2021"]]},"page":"1","title":"A Comprehensive Climate Mitigation Strategy for Mexico","type":"article-journal","volume":"2021"},"uris":["http://www.mendeley.com/documents/?uuid=370c1e96-e609-4c81-8d6f-72855191d330"]}],"mendeley":{"formattedCitation":"(Black &lt;i&gt;et al.&lt;/i&gt;, 2021)","manualFormatting":"Black et al. (2021)","plainTextFormattedCitation":"(Black et al., 2021)","previouslyFormattedCitation":"(Black &lt;i&gt;et al.&lt;/i&gt;, 2021)"},"properties":{"noteIndex":0},"schema":"https://github.com/citation-style-language/schema/raw/master/csl-citation.json"}</w:instrText>
      </w:r>
      <w:r w:rsidRPr="00CB1BCD">
        <w:rPr>
          <w:rFonts w:cs="Times New Roman"/>
          <w:lang w:val="es-MX"/>
        </w:rPr>
        <w:fldChar w:fldCharType="separate"/>
      </w:r>
      <w:r w:rsidRPr="00CB1BCD">
        <w:rPr>
          <w:rFonts w:cs="Times New Roman"/>
          <w:noProof/>
          <w:lang w:val="es-MX"/>
        </w:rPr>
        <w:t xml:space="preserve">Black </w:t>
      </w:r>
      <w:r w:rsidRPr="00CB1BCD">
        <w:rPr>
          <w:rFonts w:cs="Times New Roman"/>
          <w:i/>
          <w:noProof/>
          <w:lang w:val="es-MX"/>
        </w:rPr>
        <w:t>et al.</w:t>
      </w:r>
      <w:r w:rsidRPr="00CB1BCD">
        <w:rPr>
          <w:rFonts w:cs="Times New Roman"/>
          <w:noProof/>
          <w:lang w:val="es-MX"/>
        </w:rPr>
        <w:t xml:space="preserve"> (2021)</w:t>
      </w:r>
      <w:r w:rsidRPr="00CB1BCD">
        <w:rPr>
          <w:rFonts w:cs="Times New Roman"/>
          <w:lang w:val="es-MX"/>
        </w:rPr>
        <w:fldChar w:fldCharType="end"/>
      </w:r>
      <w:r w:rsidRPr="00CB1BCD">
        <w:rPr>
          <w:rFonts w:cs="Times New Roman"/>
          <w:lang w:val="es-MX"/>
        </w:rPr>
        <w:t>.</w:t>
      </w:r>
    </w:p>
    <w:p w14:paraId="77C0F77C" w14:textId="49FF557C" w:rsidR="00361667" w:rsidRPr="00CB1BCD" w:rsidRDefault="00361667" w:rsidP="001C71C2">
      <w:pPr>
        <w:jc w:val="center"/>
        <w:rPr>
          <w:rFonts w:cs="Times New Roman"/>
          <w:lang w:val="es-MX"/>
        </w:rPr>
      </w:pPr>
      <w:r w:rsidRPr="00CB1BCD">
        <w:rPr>
          <w:rFonts w:cs="Times New Roman"/>
          <w:lang w:val="es-MX"/>
        </w:rPr>
        <w:t xml:space="preserve">Nota: </w:t>
      </w:r>
      <w:r w:rsidR="00EA3573" w:rsidRPr="00CB1BCD">
        <w:rPr>
          <w:rFonts w:cs="Times New Roman"/>
        </w:rPr>
        <w:t>la recaudación como porcentaje del PIB se calculó a partir del PIB implícito derivado del escenario ancla.</w:t>
      </w:r>
      <w:r w:rsidR="00C6683E" w:rsidRPr="00CB1BCD">
        <w:rPr>
          <w:rFonts w:cs="Times New Roman"/>
        </w:rPr>
        <w:t xml:space="preserve"> Los valores corresponden a una simulación calibrada y no a recaudación observada del Gobierno Federal mexicano.</w:t>
      </w:r>
    </w:p>
    <w:p w14:paraId="533A0B6C" w14:textId="77777777" w:rsidR="00956B0C" w:rsidRDefault="00956B0C" w:rsidP="001C71C2">
      <w:pPr>
        <w:rPr>
          <w:rFonts w:cs="Times New Roman"/>
          <w:lang w:val="es-MX"/>
        </w:rPr>
      </w:pPr>
    </w:p>
    <w:p w14:paraId="1BF95A43" w14:textId="4E2A98F0" w:rsidR="00AF409D" w:rsidRPr="00CB1BCD" w:rsidRDefault="00270F19" w:rsidP="001C71C2">
      <w:pPr>
        <w:rPr>
          <w:rFonts w:cs="Times New Roman"/>
          <w:lang w:val="es-MX"/>
        </w:rPr>
      </w:pPr>
      <w:r w:rsidRPr="00CB1BCD">
        <w:rPr>
          <w:rFonts w:cs="Times New Roman"/>
          <w:lang w:val="es-MX"/>
        </w:rPr>
        <w:lastRenderedPageBreak/>
        <w:t>Bajo la calibración utilizada, l</w:t>
      </w:r>
      <w:r w:rsidR="00AF409D" w:rsidRPr="00CB1BCD">
        <w:rPr>
          <w:rFonts w:cs="Times New Roman"/>
          <w:lang w:val="es-MX"/>
        </w:rPr>
        <w:t>os resultados muestran una relación inicial positiva entre el precio al carbono y la recaudación potencial. Conforme el precio aumenta de 25 a 75 USD/tCO₂, la recaudación también aumenta, a pesar de que la base contaminante disminuye. Este resultado indica que, dentro del rango de precios considerado en los escenarios principales, el efecto aritmético del mayor precio por tonelada domina la reducción de la base gravable.</w:t>
      </w:r>
    </w:p>
    <w:p w14:paraId="2F160ADF" w14:textId="77777777" w:rsidR="00956B0C" w:rsidRDefault="00956B0C" w:rsidP="001C71C2">
      <w:pPr>
        <w:rPr>
          <w:rFonts w:cs="Times New Roman"/>
          <w:lang w:val="es-MX"/>
        </w:rPr>
      </w:pPr>
    </w:p>
    <w:p w14:paraId="48087A3B" w14:textId="74D51F13" w:rsidR="00AF409D" w:rsidRPr="00CB1BCD" w:rsidRDefault="00AF409D" w:rsidP="001C71C2">
      <w:pPr>
        <w:rPr>
          <w:rFonts w:cs="Times New Roman"/>
          <w:lang w:val="es-MX"/>
        </w:rPr>
      </w:pPr>
      <w:r w:rsidRPr="00CB1BCD">
        <w:rPr>
          <w:rFonts w:cs="Times New Roman"/>
          <w:lang w:val="es-MX"/>
        </w:rPr>
        <w:t xml:space="preserve">La Tabla 3 </w:t>
      </w:r>
      <w:r w:rsidR="004E1D84" w:rsidRPr="00CB1BCD">
        <w:rPr>
          <w:rFonts w:cs="Times New Roman"/>
          <w:lang w:val="es-MX"/>
        </w:rPr>
        <w:t>presenta valores seleccionados de</w:t>
      </w:r>
      <w:r w:rsidRPr="00CB1BCD">
        <w:rPr>
          <w:rFonts w:cs="Times New Roman"/>
          <w:lang w:val="es-MX"/>
        </w:rPr>
        <w:t xml:space="preserve"> la simulación hasta 400 USD/tCO₂ para identificar la forma de la Curva de Laffer ambiental. La recaudación continúa aumentando después del escenario de 75 USD/tCO₂ y alcanza su máximo </w:t>
      </w:r>
      <w:r w:rsidR="00B43CF3" w:rsidRPr="00CB1BCD">
        <w:rPr>
          <w:rFonts w:cs="Times New Roman"/>
          <w:lang w:val="es-MX"/>
        </w:rPr>
        <w:t>analítico interno</w:t>
      </w:r>
      <w:r w:rsidRPr="00CB1BCD">
        <w:rPr>
          <w:rFonts w:cs="Times New Roman"/>
          <w:lang w:val="es-MX"/>
        </w:rPr>
        <w:t xml:space="preserve"> en 286.96 USD/tCO₂, con una recaudación potencial de 47,527.08 millones de dólares. A partir de ese punto, la recaudación comienza a disminuir debido a que la contracción de la base contaminante domina el incremento del precio al carbono.</w:t>
      </w:r>
    </w:p>
    <w:p w14:paraId="39D55D4B" w14:textId="7226CC5F" w:rsidR="00AF409D" w:rsidRPr="00CB1BCD" w:rsidRDefault="00CD2F19" w:rsidP="001C71C2">
      <w:pPr>
        <w:pStyle w:val="Descripcin"/>
        <w:keepNext/>
        <w:rPr>
          <w:rFonts w:cs="Times New Roman"/>
          <w:lang w:val="es-MX"/>
        </w:rPr>
      </w:pPr>
      <w:r w:rsidRPr="00CB1BCD">
        <w:rPr>
          <w:rFonts w:cs="Times New Roman"/>
          <w:i w:val="0"/>
          <w:color w:val="auto"/>
        </w:rPr>
        <w:t xml:space="preserve">Tabla </w:t>
      </w:r>
      <w:r w:rsidRPr="00CB1BCD">
        <w:rPr>
          <w:rFonts w:cs="Times New Roman"/>
          <w:i w:val="0"/>
          <w:color w:val="auto"/>
        </w:rPr>
        <w:fldChar w:fldCharType="begin"/>
      </w:r>
      <w:r w:rsidRPr="00CB1BCD">
        <w:rPr>
          <w:rFonts w:cs="Times New Roman"/>
          <w:i w:val="0"/>
          <w:color w:val="auto"/>
        </w:rPr>
        <w:instrText xml:space="preserve"> SEQ Tabla \* ARABIC </w:instrText>
      </w:r>
      <w:r w:rsidRPr="00CB1BCD">
        <w:rPr>
          <w:rFonts w:cs="Times New Roman"/>
          <w:i w:val="0"/>
          <w:color w:val="auto"/>
        </w:rPr>
        <w:fldChar w:fldCharType="separate"/>
      </w:r>
      <w:r w:rsidR="003A49E0">
        <w:rPr>
          <w:rFonts w:cs="Times New Roman"/>
          <w:i w:val="0"/>
          <w:noProof/>
          <w:color w:val="auto"/>
        </w:rPr>
        <w:t>3</w:t>
      </w:r>
      <w:r w:rsidRPr="00CB1BCD">
        <w:rPr>
          <w:rFonts w:cs="Times New Roman"/>
          <w:i w:val="0"/>
          <w:color w:val="auto"/>
        </w:rPr>
        <w:fldChar w:fldCharType="end"/>
      </w:r>
      <w:r w:rsidRPr="00CB1BCD">
        <w:rPr>
          <w:rFonts w:cs="Times New Roman"/>
          <w:i w:val="0"/>
          <w:color w:val="auto"/>
        </w:rPr>
        <w:t>.</w:t>
      </w:r>
      <w:r w:rsidRPr="00CB1BCD">
        <w:rPr>
          <w:rFonts w:cs="Times New Roman"/>
          <w:color w:val="auto"/>
        </w:rPr>
        <w:t xml:space="preserve"> </w:t>
      </w:r>
      <w:r w:rsidR="001C7E7D" w:rsidRPr="00CB1BCD">
        <w:rPr>
          <w:rFonts w:cs="Times New Roman"/>
          <w:b w:val="0"/>
          <w:bCs w:val="0"/>
          <w:color w:val="auto"/>
        </w:rPr>
        <w:t xml:space="preserve">Valores seleccionados de la </w:t>
      </w:r>
      <w:r w:rsidRPr="00CB1BCD">
        <w:rPr>
          <w:rFonts w:cs="Times New Roman"/>
          <w:b w:val="0"/>
        </w:rPr>
        <w:t>Curva de Laffer ambiental simulada</w:t>
      </w:r>
    </w:p>
    <w:tbl>
      <w:tblPr>
        <w:tblW w:w="5000" w:type="pct"/>
        <w:tblCellMar>
          <w:left w:w="70" w:type="dxa"/>
          <w:right w:w="70" w:type="dxa"/>
        </w:tblCellMar>
        <w:tblLook w:val="04A0" w:firstRow="1" w:lastRow="0" w:firstColumn="1" w:lastColumn="0" w:noHBand="0" w:noVBand="1"/>
      </w:tblPr>
      <w:tblGrid>
        <w:gridCol w:w="1666"/>
        <w:gridCol w:w="2430"/>
        <w:gridCol w:w="2126"/>
        <w:gridCol w:w="2128"/>
        <w:gridCol w:w="1715"/>
      </w:tblGrid>
      <w:tr w:rsidR="00F27BE5" w:rsidRPr="00CB1BCD" w14:paraId="4E95ACD2" w14:textId="77777777" w:rsidTr="00EA1F82">
        <w:trPr>
          <w:trHeight w:val="340"/>
          <w:tblHeader/>
        </w:trPr>
        <w:tc>
          <w:tcPr>
            <w:tcW w:w="828" w:type="pct"/>
            <w:tcBorders>
              <w:top w:val="single" w:sz="4" w:space="0" w:color="auto"/>
              <w:bottom w:val="single" w:sz="4" w:space="0" w:color="auto"/>
            </w:tcBorders>
            <w:vAlign w:val="center"/>
            <w:hideMark/>
          </w:tcPr>
          <w:p w14:paraId="4E5DE1C2" w14:textId="77777777" w:rsidR="00F27BE5" w:rsidRPr="00CB1BCD" w:rsidRDefault="00F27BE5" w:rsidP="001C71C2">
            <w:pPr>
              <w:jc w:val="center"/>
              <w:rPr>
                <w:rFonts w:eastAsia="Times New Roman" w:cs="Times New Roman"/>
                <w:b/>
                <w:bCs/>
                <w:color w:val="000000"/>
                <w:kern w:val="0"/>
                <w:lang w:val="es-MX" w:eastAsia="es-MX"/>
                <w14:ligatures w14:val="none"/>
              </w:rPr>
            </w:pPr>
            <w:r w:rsidRPr="00CB1BCD">
              <w:rPr>
                <w:rFonts w:eastAsia="Times New Roman" w:cs="Times New Roman"/>
                <w:b/>
                <w:bCs/>
                <w:color w:val="000000"/>
                <w:kern w:val="0"/>
                <w:lang w:val="es-MX" w:eastAsia="es-MX"/>
                <w14:ligatures w14:val="none"/>
              </w:rPr>
              <w:t>Precio al carbono (USD/tCO₂)</w:t>
            </w:r>
          </w:p>
        </w:tc>
        <w:tc>
          <w:tcPr>
            <w:tcW w:w="1207" w:type="pct"/>
            <w:tcBorders>
              <w:top w:val="single" w:sz="4" w:space="0" w:color="auto"/>
              <w:bottom w:val="single" w:sz="4" w:space="0" w:color="auto"/>
            </w:tcBorders>
            <w:vAlign w:val="center"/>
            <w:hideMark/>
          </w:tcPr>
          <w:p w14:paraId="02AA9D7B" w14:textId="77777777" w:rsidR="00F27BE5" w:rsidRPr="00CB1BCD" w:rsidRDefault="00F27BE5" w:rsidP="001C71C2">
            <w:pPr>
              <w:jc w:val="center"/>
              <w:rPr>
                <w:rFonts w:eastAsia="Times New Roman" w:cs="Times New Roman"/>
                <w:b/>
                <w:bCs/>
                <w:color w:val="000000"/>
                <w:kern w:val="0"/>
                <w:lang w:val="es-MX" w:eastAsia="es-MX"/>
                <w14:ligatures w14:val="none"/>
              </w:rPr>
            </w:pPr>
            <w:r w:rsidRPr="00CB1BCD">
              <w:rPr>
                <w:rFonts w:eastAsia="Times New Roman" w:cs="Times New Roman"/>
                <w:b/>
                <w:bCs/>
                <w:color w:val="000000"/>
                <w:kern w:val="0"/>
                <w:lang w:val="es-MX" w:eastAsia="es-MX"/>
                <w14:ligatures w14:val="none"/>
              </w:rPr>
              <w:t>Emisiones remanentes (MtCO₂)</w:t>
            </w:r>
          </w:p>
        </w:tc>
        <w:tc>
          <w:tcPr>
            <w:tcW w:w="1056" w:type="pct"/>
            <w:tcBorders>
              <w:top w:val="single" w:sz="4" w:space="0" w:color="auto"/>
              <w:bottom w:val="single" w:sz="4" w:space="0" w:color="auto"/>
            </w:tcBorders>
            <w:vAlign w:val="center"/>
            <w:hideMark/>
          </w:tcPr>
          <w:p w14:paraId="66682E87" w14:textId="77777777" w:rsidR="00F27BE5" w:rsidRPr="00CB1BCD" w:rsidRDefault="00F27BE5" w:rsidP="001C71C2">
            <w:pPr>
              <w:jc w:val="center"/>
              <w:rPr>
                <w:rFonts w:eastAsia="Times New Roman" w:cs="Times New Roman"/>
                <w:b/>
                <w:bCs/>
                <w:color w:val="000000"/>
                <w:kern w:val="0"/>
                <w:lang w:val="es-MX" w:eastAsia="es-MX"/>
                <w14:ligatures w14:val="none"/>
              </w:rPr>
            </w:pPr>
            <w:r w:rsidRPr="00CB1BCD">
              <w:rPr>
                <w:rFonts w:eastAsia="Times New Roman" w:cs="Times New Roman"/>
                <w:b/>
                <w:bCs/>
                <w:color w:val="000000"/>
                <w:kern w:val="0"/>
                <w:lang w:val="es-MX" w:eastAsia="es-MX"/>
                <w14:ligatures w14:val="none"/>
              </w:rPr>
              <w:t>Reducción de emisiones (%)</w:t>
            </w:r>
          </w:p>
        </w:tc>
        <w:tc>
          <w:tcPr>
            <w:tcW w:w="1057" w:type="pct"/>
            <w:tcBorders>
              <w:top w:val="single" w:sz="4" w:space="0" w:color="auto"/>
              <w:bottom w:val="single" w:sz="4" w:space="0" w:color="auto"/>
            </w:tcBorders>
            <w:vAlign w:val="center"/>
            <w:hideMark/>
          </w:tcPr>
          <w:p w14:paraId="45CDEFC0" w14:textId="0ADDCF59" w:rsidR="00F27BE5" w:rsidRPr="00CB1BCD" w:rsidRDefault="00F27BE5" w:rsidP="001C71C2">
            <w:pPr>
              <w:jc w:val="center"/>
              <w:rPr>
                <w:rFonts w:eastAsia="Times New Roman" w:cs="Times New Roman"/>
                <w:b/>
                <w:bCs/>
                <w:color w:val="000000"/>
                <w:kern w:val="0"/>
                <w:lang w:val="es-MX" w:eastAsia="es-MX"/>
                <w14:ligatures w14:val="none"/>
              </w:rPr>
            </w:pPr>
            <w:r w:rsidRPr="00CB1BCD">
              <w:rPr>
                <w:rFonts w:eastAsia="Times New Roman" w:cs="Times New Roman"/>
                <w:b/>
                <w:bCs/>
                <w:color w:val="000000"/>
                <w:kern w:val="0"/>
                <w:lang w:val="es-MX" w:eastAsia="es-MX"/>
                <w14:ligatures w14:val="none"/>
              </w:rPr>
              <w:t xml:space="preserve">Recaudación potencial (millones </w:t>
            </w:r>
            <w:r w:rsidR="00621673" w:rsidRPr="00CB1BCD">
              <w:rPr>
                <w:rFonts w:eastAsia="Times New Roman" w:cs="Times New Roman"/>
                <w:b/>
                <w:bCs/>
                <w:color w:val="000000"/>
                <w:kern w:val="0"/>
                <w:lang w:val="es-MX" w:eastAsia="es-MX"/>
                <w14:ligatures w14:val="none"/>
              </w:rPr>
              <w:t xml:space="preserve">de </w:t>
            </w:r>
            <w:r w:rsidRPr="00CB1BCD">
              <w:rPr>
                <w:rFonts w:eastAsia="Times New Roman" w:cs="Times New Roman"/>
                <w:b/>
                <w:bCs/>
                <w:color w:val="000000"/>
                <w:kern w:val="0"/>
                <w:lang w:val="es-MX" w:eastAsia="es-MX"/>
                <w14:ligatures w14:val="none"/>
              </w:rPr>
              <w:t>USD)</w:t>
            </w:r>
          </w:p>
        </w:tc>
        <w:tc>
          <w:tcPr>
            <w:tcW w:w="852" w:type="pct"/>
            <w:tcBorders>
              <w:top w:val="single" w:sz="4" w:space="0" w:color="auto"/>
              <w:bottom w:val="single" w:sz="4" w:space="0" w:color="auto"/>
            </w:tcBorders>
            <w:vAlign w:val="center"/>
            <w:hideMark/>
          </w:tcPr>
          <w:p w14:paraId="08736927" w14:textId="727312E7" w:rsidR="00F27BE5" w:rsidRPr="00CB1BCD" w:rsidRDefault="00F27BE5" w:rsidP="001C71C2">
            <w:pPr>
              <w:jc w:val="center"/>
              <w:rPr>
                <w:rFonts w:eastAsia="Times New Roman" w:cs="Times New Roman"/>
                <w:b/>
                <w:bCs/>
                <w:color w:val="000000"/>
                <w:kern w:val="0"/>
                <w:lang w:val="es-MX" w:eastAsia="es-MX"/>
                <w14:ligatures w14:val="none"/>
              </w:rPr>
            </w:pPr>
            <w:r w:rsidRPr="00CB1BCD">
              <w:rPr>
                <w:rFonts w:eastAsia="Times New Roman" w:cs="Times New Roman"/>
                <w:b/>
                <w:bCs/>
                <w:color w:val="000000"/>
                <w:kern w:val="0"/>
                <w:lang w:val="es-MX" w:eastAsia="es-MX"/>
                <w14:ligatures w14:val="none"/>
              </w:rPr>
              <w:t xml:space="preserve">Recaudación potencial (% </w:t>
            </w:r>
            <w:r w:rsidR="00621673" w:rsidRPr="00CB1BCD">
              <w:rPr>
                <w:rFonts w:eastAsia="Times New Roman" w:cs="Times New Roman"/>
                <w:b/>
                <w:bCs/>
                <w:color w:val="000000"/>
                <w:kern w:val="0"/>
                <w:lang w:val="es-MX" w:eastAsia="es-MX"/>
                <w14:ligatures w14:val="none"/>
              </w:rPr>
              <w:t xml:space="preserve">del </w:t>
            </w:r>
            <w:r w:rsidRPr="00CB1BCD">
              <w:rPr>
                <w:rFonts w:eastAsia="Times New Roman" w:cs="Times New Roman"/>
                <w:b/>
                <w:bCs/>
                <w:color w:val="000000"/>
                <w:kern w:val="0"/>
                <w:lang w:val="es-MX" w:eastAsia="es-MX"/>
                <w14:ligatures w14:val="none"/>
              </w:rPr>
              <w:t>PIB)</w:t>
            </w:r>
          </w:p>
        </w:tc>
      </w:tr>
      <w:tr w:rsidR="00F27BE5" w:rsidRPr="00CB1BCD" w14:paraId="348E107C" w14:textId="77777777" w:rsidTr="00EA1F82">
        <w:trPr>
          <w:trHeight w:val="340"/>
        </w:trPr>
        <w:tc>
          <w:tcPr>
            <w:tcW w:w="828" w:type="pct"/>
            <w:tcBorders>
              <w:top w:val="single" w:sz="4" w:space="0" w:color="auto"/>
            </w:tcBorders>
            <w:vAlign w:val="center"/>
            <w:hideMark/>
          </w:tcPr>
          <w:p w14:paraId="5F13E235"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25</w:t>
            </w:r>
          </w:p>
        </w:tc>
        <w:tc>
          <w:tcPr>
            <w:tcW w:w="1207" w:type="pct"/>
            <w:tcBorders>
              <w:top w:val="single" w:sz="4" w:space="0" w:color="auto"/>
            </w:tcBorders>
            <w:vAlign w:val="center"/>
            <w:hideMark/>
          </w:tcPr>
          <w:p w14:paraId="18D9F701"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412.65</w:t>
            </w:r>
          </w:p>
        </w:tc>
        <w:tc>
          <w:tcPr>
            <w:tcW w:w="1056" w:type="pct"/>
            <w:tcBorders>
              <w:top w:val="single" w:sz="4" w:space="0" w:color="auto"/>
            </w:tcBorders>
            <w:vAlign w:val="center"/>
            <w:hideMark/>
          </w:tcPr>
          <w:p w14:paraId="7CE59C7A"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8.34</w:t>
            </w:r>
          </w:p>
        </w:tc>
        <w:tc>
          <w:tcPr>
            <w:tcW w:w="1057" w:type="pct"/>
            <w:tcBorders>
              <w:top w:val="single" w:sz="4" w:space="0" w:color="auto"/>
            </w:tcBorders>
            <w:vAlign w:val="center"/>
            <w:hideMark/>
          </w:tcPr>
          <w:p w14:paraId="0FB10097"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10,316.32</w:t>
            </w:r>
          </w:p>
        </w:tc>
        <w:tc>
          <w:tcPr>
            <w:tcW w:w="852" w:type="pct"/>
            <w:tcBorders>
              <w:top w:val="single" w:sz="4" w:space="0" w:color="auto"/>
            </w:tcBorders>
            <w:vAlign w:val="center"/>
            <w:hideMark/>
          </w:tcPr>
          <w:p w14:paraId="14705588"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0.71</w:t>
            </w:r>
          </w:p>
        </w:tc>
      </w:tr>
      <w:tr w:rsidR="00F27BE5" w:rsidRPr="00CB1BCD" w14:paraId="29A82226" w14:textId="77777777" w:rsidTr="00EA1F82">
        <w:trPr>
          <w:trHeight w:val="340"/>
        </w:trPr>
        <w:tc>
          <w:tcPr>
            <w:tcW w:w="828" w:type="pct"/>
            <w:vAlign w:val="center"/>
            <w:hideMark/>
          </w:tcPr>
          <w:p w14:paraId="491B22DD"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50</w:t>
            </w:r>
          </w:p>
        </w:tc>
        <w:tc>
          <w:tcPr>
            <w:tcW w:w="1207" w:type="pct"/>
            <w:vAlign w:val="center"/>
            <w:hideMark/>
          </w:tcPr>
          <w:p w14:paraId="31154C81"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378.22</w:t>
            </w:r>
          </w:p>
        </w:tc>
        <w:tc>
          <w:tcPr>
            <w:tcW w:w="1056" w:type="pct"/>
            <w:vAlign w:val="center"/>
            <w:hideMark/>
          </w:tcPr>
          <w:p w14:paraId="1924D100"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15.99</w:t>
            </w:r>
          </w:p>
        </w:tc>
        <w:tc>
          <w:tcPr>
            <w:tcW w:w="1057" w:type="pct"/>
            <w:vAlign w:val="center"/>
            <w:hideMark/>
          </w:tcPr>
          <w:p w14:paraId="3472A233"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18,911.18</w:t>
            </w:r>
          </w:p>
        </w:tc>
        <w:tc>
          <w:tcPr>
            <w:tcW w:w="852" w:type="pct"/>
            <w:vAlign w:val="center"/>
            <w:hideMark/>
          </w:tcPr>
          <w:p w14:paraId="2CC55705"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1.31</w:t>
            </w:r>
          </w:p>
        </w:tc>
      </w:tr>
      <w:tr w:rsidR="00F27BE5" w:rsidRPr="00CB1BCD" w14:paraId="624B4680" w14:textId="77777777" w:rsidTr="00EA1F82">
        <w:trPr>
          <w:trHeight w:val="340"/>
        </w:trPr>
        <w:tc>
          <w:tcPr>
            <w:tcW w:w="828" w:type="pct"/>
            <w:vAlign w:val="center"/>
            <w:hideMark/>
          </w:tcPr>
          <w:p w14:paraId="3232E2A6"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75</w:t>
            </w:r>
          </w:p>
        </w:tc>
        <w:tc>
          <w:tcPr>
            <w:tcW w:w="1207" w:type="pct"/>
            <w:vAlign w:val="center"/>
            <w:hideMark/>
          </w:tcPr>
          <w:p w14:paraId="652DC1C9"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346.67</w:t>
            </w:r>
          </w:p>
        </w:tc>
        <w:tc>
          <w:tcPr>
            <w:tcW w:w="1056" w:type="pct"/>
            <w:vAlign w:val="center"/>
            <w:hideMark/>
          </w:tcPr>
          <w:p w14:paraId="277020CD" w14:textId="19C83C1E"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23</w:t>
            </w:r>
            <w:r w:rsidR="00CD10F2" w:rsidRPr="00CB1BCD">
              <w:rPr>
                <w:rFonts w:eastAsia="Times New Roman" w:cs="Times New Roman"/>
                <w:color w:val="000000"/>
                <w:kern w:val="0"/>
                <w:lang w:val="es-MX" w:eastAsia="es-MX"/>
                <w14:ligatures w14:val="none"/>
              </w:rPr>
              <w:t>.00</w:t>
            </w:r>
          </w:p>
        </w:tc>
        <w:tc>
          <w:tcPr>
            <w:tcW w:w="1057" w:type="pct"/>
            <w:vAlign w:val="center"/>
            <w:hideMark/>
          </w:tcPr>
          <w:p w14:paraId="13A717B7"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26,000.00</w:t>
            </w:r>
          </w:p>
        </w:tc>
        <w:tc>
          <w:tcPr>
            <w:tcW w:w="852" w:type="pct"/>
            <w:vAlign w:val="center"/>
            <w:hideMark/>
          </w:tcPr>
          <w:p w14:paraId="0C4586A6" w14:textId="31B6FB2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1.8</w:t>
            </w:r>
            <w:r w:rsidR="00CD10F2" w:rsidRPr="00CB1BCD">
              <w:rPr>
                <w:rFonts w:eastAsia="Times New Roman" w:cs="Times New Roman"/>
                <w:color w:val="000000"/>
                <w:kern w:val="0"/>
                <w:lang w:val="es-MX" w:eastAsia="es-MX"/>
                <w14:ligatures w14:val="none"/>
              </w:rPr>
              <w:t>0</w:t>
            </w:r>
          </w:p>
        </w:tc>
      </w:tr>
      <w:tr w:rsidR="00F27BE5" w:rsidRPr="00CB1BCD" w14:paraId="41A23E82" w14:textId="77777777" w:rsidTr="00EA1F82">
        <w:trPr>
          <w:trHeight w:val="340"/>
        </w:trPr>
        <w:tc>
          <w:tcPr>
            <w:tcW w:w="828" w:type="pct"/>
            <w:vAlign w:val="center"/>
            <w:hideMark/>
          </w:tcPr>
          <w:p w14:paraId="7CDC7F2D"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100</w:t>
            </w:r>
          </w:p>
        </w:tc>
        <w:tc>
          <w:tcPr>
            <w:tcW w:w="1207" w:type="pct"/>
            <w:vAlign w:val="center"/>
            <w:hideMark/>
          </w:tcPr>
          <w:p w14:paraId="3207EA05"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317.74</w:t>
            </w:r>
          </w:p>
        </w:tc>
        <w:tc>
          <w:tcPr>
            <w:tcW w:w="1056" w:type="pct"/>
            <w:vAlign w:val="center"/>
            <w:hideMark/>
          </w:tcPr>
          <w:p w14:paraId="74A98147"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29.42</w:t>
            </w:r>
          </w:p>
        </w:tc>
        <w:tc>
          <w:tcPr>
            <w:tcW w:w="1057" w:type="pct"/>
            <w:vAlign w:val="center"/>
            <w:hideMark/>
          </w:tcPr>
          <w:p w14:paraId="25D17B3A"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31,774.28</w:t>
            </w:r>
          </w:p>
        </w:tc>
        <w:tc>
          <w:tcPr>
            <w:tcW w:w="852" w:type="pct"/>
            <w:vAlign w:val="center"/>
            <w:hideMark/>
          </w:tcPr>
          <w:p w14:paraId="70713244" w14:textId="53CDE01B"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2.2</w:t>
            </w:r>
            <w:r w:rsidR="00CD10F2" w:rsidRPr="00CB1BCD">
              <w:rPr>
                <w:rFonts w:eastAsia="Times New Roman" w:cs="Times New Roman"/>
                <w:color w:val="000000"/>
                <w:kern w:val="0"/>
                <w:lang w:val="es-MX" w:eastAsia="es-MX"/>
                <w14:ligatures w14:val="none"/>
              </w:rPr>
              <w:t>0</w:t>
            </w:r>
          </w:p>
        </w:tc>
      </w:tr>
      <w:tr w:rsidR="00F27BE5" w:rsidRPr="00CB1BCD" w14:paraId="6159EE5C" w14:textId="77777777" w:rsidTr="00EA1F82">
        <w:trPr>
          <w:trHeight w:val="340"/>
        </w:trPr>
        <w:tc>
          <w:tcPr>
            <w:tcW w:w="828" w:type="pct"/>
            <w:vAlign w:val="center"/>
            <w:hideMark/>
          </w:tcPr>
          <w:p w14:paraId="0844D8F9"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150</w:t>
            </w:r>
          </w:p>
        </w:tc>
        <w:tc>
          <w:tcPr>
            <w:tcW w:w="1207" w:type="pct"/>
            <w:vAlign w:val="center"/>
            <w:hideMark/>
          </w:tcPr>
          <w:p w14:paraId="54447078"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266.93</w:t>
            </w:r>
          </w:p>
        </w:tc>
        <w:tc>
          <w:tcPr>
            <w:tcW w:w="1056" w:type="pct"/>
            <w:vAlign w:val="center"/>
            <w:hideMark/>
          </w:tcPr>
          <w:p w14:paraId="609B8548"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40.71</w:t>
            </w:r>
          </w:p>
        </w:tc>
        <w:tc>
          <w:tcPr>
            <w:tcW w:w="1057" w:type="pct"/>
            <w:vAlign w:val="center"/>
            <w:hideMark/>
          </w:tcPr>
          <w:p w14:paraId="49550541"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40,040.00</w:t>
            </w:r>
          </w:p>
        </w:tc>
        <w:tc>
          <w:tcPr>
            <w:tcW w:w="852" w:type="pct"/>
            <w:vAlign w:val="center"/>
            <w:hideMark/>
          </w:tcPr>
          <w:p w14:paraId="5DB7703E"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2.77</w:t>
            </w:r>
          </w:p>
        </w:tc>
      </w:tr>
      <w:tr w:rsidR="00F27BE5" w:rsidRPr="00CB1BCD" w14:paraId="6F95CAEC" w14:textId="77777777" w:rsidTr="00EA1F82">
        <w:trPr>
          <w:trHeight w:val="340"/>
        </w:trPr>
        <w:tc>
          <w:tcPr>
            <w:tcW w:w="828" w:type="pct"/>
            <w:vAlign w:val="center"/>
            <w:hideMark/>
          </w:tcPr>
          <w:p w14:paraId="521A3895"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200</w:t>
            </w:r>
          </w:p>
        </w:tc>
        <w:tc>
          <w:tcPr>
            <w:tcW w:w="1207" w:type="pct"/>
            <w:vAlign w:val="center"/>
            <w:hideMark/>
          </w:tcPr>
          <w:p w14:paraId="52F97AF4"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224.25</w:t>
            </w:r>
          </w:p>
        </w:tc>
        <w:tc>
          <w:tcPr>
            <w:tcW w:w="1056" w:type="pct"/>
            <w:vAlign w:val="center"/>
            <w:hideMark/>
          </w:tcPr>
          <w:p w14:paraId="47EEBFC7"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50.19</w:t>
            </w:r>
          </w:p>
        </w:tc>
        <w:tc>
          <w:tcPr>
            <w:tcW w:w="1057" w:type="pct"/>
            <w:vAlign w:val="center"/>
            <w:hideMark/>
          </w:tcPr>
          <w:p w14:paraId="2D4006AB"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44,849.74</w:t>
            </w:r>
          </w:p>
        </w:tc>
        <w:tc>
          <w:tcPr>
            <w:tcW w:w="852" w:type="pct"/>
            <w:vAlign w:val="center"/>
            <w:hideMark/>
          </w:tcPr>
          <w:p w14:paraId="0C4C8BA4" w14:textId="1C1B5CF4"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3.1</w:t>
            </w:r>
            <w:r w:rsidR="00CD10F2" w:rsidRPr="00CB1BCD">
              <w:rPr>
                <w:rFonts w:eastAsia="Times New Roman" w:cs="Times New Roman"/>
                <w:color w:val="000000"/>
                <w:kern w:val="0"/>
                <w:lang w:val="es-MX" w:eastAsia="es-MX"/>
                <w14:ligatures w14:val="none"/>
              </w:rPr>
              <w:t>0</w:t>
            </w:r>
          </w:p>
        </w:tc>
      </w:tr>
      <w:tr w:rsidR="00F27BE5" w:rsidRPr="00CB1BCD" w14:paraId="168A6106" w14:textId="77777777" w:rsidTr="00EA1F82">
        <w:trPr>
          <w:trHeight w:val="340"/>
        </w:trPr>
        <w:tc>
          <w:tcPr>
            <w:tcW w:w="828" w:type="pct"/>
            <w:vAlign w:val="center"/>
            <w:hideMark/>
          </w:tcPr>
          <w:p w14:paraId="6096B05A"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250</w:t>
            </w:r>
          </w:p>
        </w:tc>
        <w:tc>
          <w:tcPr>
            <w:tcW w:w="1207" w:type="pct"/>
            <w:vAlign w:val="center"/>
            <w:hideMark/>
          </w:tcPr>
          <w:p w14:paraId="0FF846D6"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188.39</w:t>
            </w:r>
          </w:p>
        </w:tc>
        <w:tc>
          <w:tcPr>
            <w:tcW w:w="1056" w:type="pct"/>
            <w:vAlign w:val="center"/>
            <w:hideMark/>
          </w:tcPr>
          <w:p w14:paraId="42C246ED"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58.16</w:t>
            </w:r>
          </w:p>
        </w:tc>
        <w:tc>
          <w:tcPr>
            <w:tcW w:w="1057" w:type="pct"/>
            <w:vAlign w:val="center"/>
            <w:hideMark/>
          </w:tcPr>
          <w:p w14:paraId="3227BB01"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47,097.42</w:t>
            </w:r>
          </w:p>
        </w:tc>
        <w:tc>
          <w:tcPr>
            <w:tcW w:w="852" w:type="pct"/>
            <w:vAlign w:val="center"/>
            <w:hideMark/>
          </w:tcPr>
          <w:p w14:paraId="393DE516"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3.26</w:t>
            </w:r>
          </w:p>
        </w:tc>
      </w:tr>
      <w:tr w:rsidR="00F27BE5" w:rsidRPr="00CB1BCD" w14:paraId="0191A80F" w14:textId="77777777" w:rsidTr="00EA1F82">
        <w:trPr>
          <w:trHeight w:val="340"/>
        </w:trPr>
        <w:tc>
          <w:tcPr>
            <w:tcW w:w="828" w:type="pct"/>
            <w:vAlign w:val="center"/>
            <w:hideMark/>
          </w:tcPr>
          <w:p w14:paraId="55B8E976"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286.96</w:t>
            </w:r>
          </w:p>
        </w:tc>
        <w:tc>
          <w:tcPr>
            <w:tcW w:w="1207" w:type="pct"/>
            <w:vAlign w:val="center"/>
            <w:hideMark/>
          </w:tcPr>
          <w:p w14:paraId="31E13C3E"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165.63</w:t>
            </w:r>
          </w:p>
        </w:tc>
        <w:tc>
          <w:tcPr>
            <w:tcW w:w="1056" w:type="pct"/>
            <w:vAlign w:val="center"/>
            <w:hideMark/>
          </w:tcPr>
          <w:p w14:paraId="28D0F157"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63.21</w:t>
            </w:r>
          </w:p>
        </w:tc>
        <w:tc>
          <w:tcPr>
            <w:tcW w:w="1057" w:type="pct"/>
            <w:vAlign w:val="center"/>
            <w:hideMark/>
          </w:tcPr>
          <w:p w14:paraId="72C74FC6"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47,527.08</w:t>
            </w:r>
          </w:p>
        </w:tc>
        <w:tc>
          <w:tcPr>
            <w:tcW w:w="852" w:type="pct"/>
            <w:vAlign w:val="center"/>
            <w:hideMark/>
          </w:tcPr>
          <w:p w14:paraId="634C4F78"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3.29</w:t>
            </w:r>
          </w:p>
        </w:tc>
      </w:tr>
      <w:tr w:rsidR="00F27BE5" w:rsidRPr="00CB1BCD" w14:paraId="445F3B4A" w14:textId="77777777" w:rsidTr="00EA1F82">
        <w:trPr>
          <w:trHeight w:val="340"/>
        </w:trPr>
        <w:tc>
          <w:tcPr>
            <w:tcW w:w="828" w:type="pct"/>
            <w:vAlign w:val="center"/>
            <w:hideMark/>
          </w:tcPr>
          <w:p w14:paraId="4BE8E56C"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300</w:t>
            </w:r>
          </w:p>
        </w:tc>
        <w:tc>
          <w:tcPr>
            <w:tcW w:w="1207" w:type="pct"/>
            <w:vAlign w:val="center"/>
            <w:hideMark/>
          </w:tcPr>
          <w:p w14:paraId="40B62CE3"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158.26</w:t>
            </w:r>
          </w:p>
        </w:tc>
        <w:tc>
          <w:tcPr>
            <w:tcW w:w="1056" w:type="pct"/>
            <w:vAlign w:val="center"/>
            <w:hideMark/>
          </w:tcPr>
          <w:p w14:paraId="27E4DECD"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64.85</w:t>
            </w:r>
          </w:p>
        </w:tc>
        <w:tc>
          <w:tcPr>
            <w:tcW w:w="1057" w:type="pct"/>
            <w:vAlign w:val="center"/>
            <w:hideMark/>
          </w:tcPr>
          <w:p w14:paraId="12442C40"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47,479.43</w:t>
            </w:r>
          </w:p>
        </w:tc>
        <w:tc>
          <w:tcPr>
            <w:tcW w:w="852" w:type="pct"/>
            <w:vAlign w:val="center"/>
            <w:hideMark/>
          </w:tcPr>
          <w:p w14:paraId="5C625B8E"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3.29</w:t>
            </w:r>
          </w:p>
        </w:tc>
      </w:tr>
      <w:tr w:rsidR="00F27BE5" w:rsidRPr="00CB1BCD" w14:paraId="6BD9295C" w14:textId="77777777" w:rsidTr="00EA1F82">
        <w:trPr>
          <w:trHeight w:val="340"/>
        </w:trPr>
        <w:tc>
          <w:tcPr>
            <w:tcW w:w="828" w:type="pct"/>
            <w:vAlign w:val="center"/>
            <w:hideMark/>
          </w:tcPr>
          <w:p w14:paraId="14726485"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350</w:t>
            </w:r>
          </w:p>
        </w:tc>
        <w:tc>
          <w:tcPr>
            <w:tcW w:w="1207" w:type="pct"/>
            <w:vAlign w:val="center"/>
            <w:hideMark/>
          </w:tcPr>
          <w:p w14:paraId="0387059B"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132.96</w:t>
            </w:r>
          </w:p>
        </w:tc>
        <w:tc>
          <w:tcPr>
            <w:tcW w:w="1056" w:type="pct"/>
            <w:vAlign w:val="center"/>
            <w:hideMark/>
          </w:tcPr>
          <w:p w14:paraId="6DEEC321"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70.47</w:t>
            </w:r>
          </w:p>
        </w:tc>
        <w:tc>
          <w:tcPr>
            <w:tcW w:w="1057" w:type="pct"/>
            <w:vAlign w:val="center"/>
            <w:hideMark/>
          </w:tcPr>
          <w:p w14:paraId="7BC0AF30"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46,534.97</w:t>
            </w:r>
          </w:p>
        </w:tc>
        <w:tc>
          <w:tcPr>
            <w:tcW w:w="852" w:type="pct"/>
            <w:vAlign w:val="center"/>
            <w:hideMark/>
          </w:tcPr>
          <w:p w14:paraId="2A0DBB5A"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3.22</w:t>
            </w:r>
          </w:p>
        </w:tc>
      </w:tr>
      <w:tr w:rsidR="00F27BE5" w:rsidRPr="00CB1BCD" w14:paraId="45AF60D8" w14:textId="77777777" w:rsidTr="00EA1F82">
        <w:trPr>
          <w:trHeight w:val="340"/>
        </w:trPr>
        <w:tc>
          <w:tcPr>
            <w:tcW w:w="828" w:type="pct"/>
            <w:tcBorders>
              <w:bottom w:val="single" w:sz="4" w:space="0" w:color="auto"/>
            </w:tcBorders>
            <w:vAlign w:val="center"/>
            <w:hideMark/>
          </w:tcPr>
          <w:p w14:paraId="05149B12"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400</w:t>
            </w:r>
          </w:p>
        </w:tc>
        <w:tc>
          <w:tcPr>
            <w:tcW w:w="1207" w:type="pct"/>
            <w:tcBorders>
              <w:bottom w:val="single" w:sz="4" w:space="0" w:color="auto"/>
            </w:tcBorders>
            <w:vAlign w:val="center"/>
            <w:hideMark/>
          </w:tcPr>
          <w:p w14:paraId="028DC38E" w14:textId="58A75523"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111.7</w:t>
            </w:r>
            <w:r w:rsidR="00CD10F2" w:rsidRPr="00CB1BCD">
              <w:rPr>
                <w:rFonts w:eastAsia="Times New Roman" w:cs="Times New Roman"/>
                <w:color w:val="000000"/>
                <w:kern w:val="0"/>
                <w:lang w:val="es-MX" w:eastAsia="es-MX"/>
                <w14:ligatures w14:val="none"/>
              </w:rPr>
              <w:t>0</w:t>
            </w:r>
          </w:p>
        </w:tc>
        <w:tc>
          <w:tcPr>
            <w:tcW w:w="1056" w:type="pct"/>
            <w:tcBorders>
              <w:bottom w:val="single" w:sz="4" w:space="0" w:color="auto"/>
            </w:tcBorders>
            <w:vAlign w:val="center"/>
            <w:hideMark/>
          </w:tcPr>
          <w:p w14:paraId="1393D30A"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75.19</w:t>
            </w:r>
          </w:p>
        </w:tc>
        <w:tc>
          <w:tcPr>
            <w:tcW w:w="1057" w:type="pct"/>
            <w:tcBorders>
              <w:bottom w:val="single" w:sz="4" w:space="0" w:color="auto"/>
            </w:tcBorders>
            <w:vAlign w:val="center"/>
            <w:hideMark/>
          </w:tcPr>
          <w:p w14:paraId="2913DFCF"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44,678.50</w:t>
            </w:r>
          </w:p>
        </w:tc>
        <w:tc>
          <w:tcPr>
            <w:tcW w:w="852" w:type="pct"/>
            <w:tcBorders>
              <w:bottom w:val="single" w:sz="4" w:space="0" w:color="auto"/>
            </w:tcBorders>
            <w:vAlign w:val="center"/>
            <w:hideMark/>
          </w:tcPr>
          <w:p w14:paraId="7A7DC304" w14:textId="77777777" w:rsidR="00F27BE5" w:rsidRPr="00CB1BCD" w:rsidRDefault="00F27BE5"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3.09</w:t>
            </w:r>
          </w:p>
        </w:tc>
      </w:tr>
    </w:tbl>
    <w:p w14:paraId="7FCB3A5A" w14:textId="4BD3F689" w:rsidR="00922C55" w:rsidRPr="00CB1BCD" w:rsidRDefault="00F27BE5" w:rsidP="001C71C2">
      <w:pPr>
        <w:jc w:val="center"/>
        <w:rPr>
          <w:rFonts w:cs="Times New Roman"/>
          <w:lang w:val="es-MX"/>
        </w:rPr>
      </w:pPr>
      <w:r w:rsidRPr="00CB1BCD">
        <w:rPr>
          <w:rFonts w:cs="Times New Roman"/>
          <w:lang w:val="es-MX"/>
        </w:rPr>
        <w:t xml:space="preserve">Fuente: </w:t>
      </w:r>
      <w:r w:rsidR="00622B51" w:rsidRPr="00CB1BCD">
        <w:rPr>
          <w:rFonts w:cs="Times New Roman"/>
          <w:lang w:val="es-MX"/>
        </w:rPr>
        <w:t>e</w:t>
      </w:r>
      <w:r w:rsidRPr="00CB1BCD">
        <w:rPr>
          <w:rFonts w:cs="Times New Roman"/>
          <w:lang w:val="es-MX"/>
        </w:rPr>
        <w:t>laboración propia.</w:t>
      </w:r>
    </w:p>
    <w:p w14:paraId="456554A1" w14:textId="21FE25F5" w:rsidR="00C512C1" w:rsidRDefault="00C512C1" w:rsidP="001C71C2">
      <w:pPr>
        <w:jc w:val="center"/>
        <w:rPr>
          <w:rFonts w:cs="Times New Roman"/>
        </w:rPr>
      </w:pPr>
      <w:r w:rsidRPr="00CB1BCD">
        <w:rPr>
          <w:rFonts w:cs="Times New Roman"/>
          <w:lang w:val="es-MX"/>
        </w:rPr>
        <w:t xml:space="preserve">Nota: </w:t>
      </w:r>
      <w:r w:rsidRPr="00CB1BCD">
        <w:rPr>
          <w:rFonts w:cs="Times New Roman"/>
        </w:rPr>
        <w:t>El precio de 286.96 USD/</w:t>
      </w:r>
      <w:proofErr w:type="spellStart"/>
      <w:r w:rsidRPr="00CB1BCD">
        <w:rPr>
          <w:rFonts w:cs="Times New Roman"/>
        </w:rPr>
        <w:t>tCO</w:t>
      </w:r>
      <w:proofErr w:type="spellEnd"/>
      <w:r w:rsidRPr="00CB1BCD">
        <w:rPr>
          <w:rFonts w:cs="Times New Roman"/>
        </w:rPr>
        <w:t>₂ corresponde al máximo analítico interno del modelo y fue añadido como punto específico de referencia.</w:t>
      </w:r>
    </w:p>
    <w:p w14:paraId="0CD54A18" w14:textId="77777777" w:rsidR="00956B0C" w:rsidRPr="00CB1BCD" w:rsidRDefault="00956B0C" w:rsidP="001C71C2">
      <w:pPr>
        <w:jc w:val="center"/>
        <w:rPr>
          <w:rFonts w:cs="Times New Roman"/>
          <w:lang w:val="es-MX"/>
        </w:rPr>
      </w:pPr>
    </w:p>
    <w:p w14:paraId="49FDBD95" w14:textId="312850F0" w:rsidR="008F042F" w:rsidRDefault="008F042F" w:rsidP="001C71C2">
      <w:pPr>
        <w:rPr>
          <w:rFonts w:cs="Times New Roman"/>
          <w:lang w:val="es-MX"/>
        </w:rPr>
      </w:pPr>
      <w:r w:rsidRPr="00CB1BCD">
        <w:rPr>
          <w:rFonts w:cs="Times New Roman"/>
          <w:lang w:val="es-MX"/>
        </w:rPr>
        <w:lastRenderedPageBreak/>
        <w:t xml:space="preserve">La simulación </w:t>
      </w:r>
      <w:r w:rsidR="00C512C1" w:rsidRPr="00CB1BCD">
        <w:rPr>
          <w:rFonts w:cs="Times New Roman"/>
          <w:lang w:val="es-MX"/>
        </w:rPr>
        <w:t>reproduce</w:t>
      </w:r>
      <w:r w:rsidRPr="00CB1BCD">
        <w:rPr>
          <w:rFonts w:cs="Times New Roman"/>
          <w:lang w:val="es-MX"/>
        </w:rPr>
        <w:t xml:space="preserve"> la forma no lineal esperada </w:t>
      </w:r>
      <w:r w:rsidR="00C512C1" w:rsidRPr="00CB1BCD">
        <w:rPr>
          <w:rFonts w:cs="Times New Roman"/>
          <w:lang w:val="es-MX"/>
        </w:rPr>
        <w:t>bajo la función de emisiones especificada</w:t>
      </w:r>
      <w:r w:rsidRPr="00CB1BCD">
        <w:rPr>
          <w:rFonts w:cs="Times New Roman"/>
          <w:lang w:val="es-MX"/>
        </w:rPr>
        <w:t>. En los primeros tramos, el aumento del precio al carbono incrementa la recaudación porque la reducción de emisiones es proporcionalmente menor que el aumento del precio. Sin embargo, una vez superado el punto de máxima recaudación, la disminución de la base gravable reduce los ingresos potenciales, aun cuando el precio por tonelada continúa aumentando.</w:t>
      </w:r>
    </w:p>
    <w:p w14:paraId="1E5AEF14" w14:textId="77777777" w:rsidR="00956B0C" w:rsidRPr="00CB1BCD" w:rsidRDefault="00956B0C" w:rsidP="001C71C2">
      <w:pPr>
        <w:rPr>
          <w:rFonts w:cs="Times New Roman"/>
          <w:lang w:val="es-MX"/>
        </w:rPr>
      </w:pPr>
    </w:p>
    <w:p w14:paraId="265ECBCE" w14:textId="2DABD730" w:rsidR="008F042F" w:rsidRPr="00CB1BCD" w:rsidRDefault="008F042F" w:rsidP="001C71C2">
      <w:pPr>
        <w:rPr>
          <w:rFonts w:cs="Times New Roman"/>
          <w:lang w:val="es-MX"/>
        </w:rPr>
      </w:pPr>
      <w:r w:rsidRPr="00CB1BCD">
        <w:rPr>
          <w:rFonts w:cs="Times New Roman"/>
          <w:lang w:val="es-MX"/>
        </w:rPr>
        <w:t xml:space="preserve">La Figura 1 </w:t>
      </w:r>
      <w:r w:rsidR="00EA3573" w:rsidRPr="00CB1BCD">
        <w:rPr>
          <w:rFonts w:cs="Times New Roman"/>
        </w:rPr>
        <w:t>representa la relación entre el precio al carbono y la recaudación potencial</w:t>
      </w:r>
      <w:r w:rsidRPr="00CB1BCD">
        <w:rPr>
          <w:rFonts w:cs="Times New Roman"/>
          <w:lang w:val="es-MX"/>
        </w:rPr>
        <w:t xml:space="preserve">. La trayectoria muestra un tramo ascendente entre 0 y 286.96 USD/tCO₂ y un tramo descendente posterior, </w:t>
      </w:r>
      <w:r w:rsidR="00EA3573" w:rsidRPr="00CB1BCD">
        <w:rPr>
          <w:rFonts w:cs="Times New Roman"/>
          <w:lang w:val="es-MX"/>
        </w:rPr>
        <w:t xml:space="preserve">lo que </w:t>
      </w:r>
      <w:r w:rsidR="00C512C1" w:rsidRPr="00CB1BCD">
        <w:rPr>
          <w:rFonts w:cs="Times New Roman"/>
          <w:lang w:val="es-MX"/>
        </w:rPr>
        <w:t xml:space="preserve">muestra que, dentro del modelo, </w:t>
      </w:r>
      <w:r w:rsidRPr="00CB1BCD">
        <w:rPr>
          <w:rFonts w:cs="Times New Roman"/>
          <w:lang w:val="es-MX"/>
        </w:rPr>
        <w:t>la reducción de emisiones puede terminar reduciendo la base fiscal del impuesto.</w:t>
      </w:r>
    </w:p>
    <w:p w14:paraId="66C56230" w14:textId="78528181" w:rsidR="00F27BE5" w:rsidRPr="00CB1BCD" w:rsidRDefault="00B3080C" w:rsidP="001C71C2">
      <w:pPr>
        <w:pStyle w:val="Descripcin"/>
        <w:keepNext/>
        <w:rPr>
          <w:rFonts w:cs="Times New Roman"/>
          <w:b w:val="0"/>
          <w:color w:val="auto"/>
          <w:lang w:val="es-MX"/>
        </w:rPr>
      </w:pPr>
      <w:r w:rsidRPr="00CB1BCD">
        <w:rPr>
          <w:rFonts w:cs="Times New Roman"/>
          <w:i w:val="0"/>
          <w:color w:val="auto"/>
        </w:rPr>
        <w:t xml:space="preserve">Figura </w:t>
      </w:r>
      <w:r w:rsidRPr="00CB1BCD">
        <w:rPr>
          <w:rFonts w:cs="Times New Roman"/>
          <w:i w:val="0"/>
          <w:color w:val="auto"/>
        </w:rPr>
        <w:fldChar w:fldCharType="begin"/>
      </w:r>
      <w:r w:rsidRPr="00CB1BCD">
        <w:rPr>
          <w:rFonts w:cs="Times New Roman"/>
          <w:i w:val="0"/>
          <w:color w:val="auto"/>
        </w:rPr>
        <w:instrText xml:space="preserve"> SEQ Figura \* ARABIC </w:instrText>
      </w:r>
      <w:r w:rsidRPr="00CB1BCD">
        <w:rPr>
          <w:rFonts w:cs="Times New Roman"/>
          <w:i w:val="0"/>
          <w:color w:val="auto"/>
        </w:rPr>
        <w:fldChar w:fldCharType="separate"/>
      </w:r>
      <w:r w:rsidR="003A49E0">
        <w:rPr>
          <w:rFonts w:cs="Times New Roman"/>
          <w:i w:val="0"/>
          <w:noProof/>
          <w:color w:val="auto"/>
        </w:rPr>
        <w:t>1</w:t>
      </w:r>
      <w:r w:rsidRPr="00CB1BCD">
        <w:rPr>
          <w:rFonts w:cs="Times New Roman"/>
          <w:i w:val="0"/>
          <w:color w:val="auto"/>
        </w:rPr>
        <w:fldChar w:fldCharType="end"/>
      </w:r>
      <w:r w:rsidRPr="00CB1BCD">
        <w:rPr>
          <w:rFonts w:cs="Times New Roman"/>
          <w:i w:val="0"/>
          <w:color w:val="auto"/>
        </w:rPr>
        <w:t>.</w:t>
      </w:r>
      <w:r w:rsidRPr="00CB1BCD">
        <w:rPr>
          <w:rFonts w:cs="Times New Roman"/>
          <w:color w:val="auto"/>
        </w:rPr>
        <w:t xml:space="preserve"> </w:t>
      </w:r>
      <w:r w:rsidRPr="00CB1BCD">
        <w:rPr>
          <w:rFonts w:cs="Times New Roman"/>
          <w:b w:val="0"/>
          <w:color w:val="auto"/>
        </w:rPr>
        <w:t>Curva de Laffer ambiental simulada para México</w:t>
      </w:r>
    </w:p>
    <w:p w14:paraId="65707B80" w14:textId="37AD4332" w:rsidR="00CD2F19" w:rsidRPr="00CB1BCD" w:rsidRDefault="00B3080C" w:rsidP="001C71C2">
      <w:pPr>
        <w:jc w:val="center"/>
        <w:rPr>
          <w:rFonts w:cs="Times New Roman"/>
          <w:lang w:val="es-MX"/>
        </w:rPr>
      </w:pPr>
      <w:r w:rsidRPr="00CB1BCD">
        <w:rPr>
          <w:rFonts w:cs="Times New Roman"/>
          <w:noProof/>
          <w:lang w:val="es-MX" w:eastAsia="es-MX"/>
        </w:rPr>
        <w:drawing>
          <wp:inline distT="0" distB="0" distL="0" distR="0" wp14:anchorId="0CF7A86A" wp14:editId="6F1061CB">
            <wp:extent cx="4572000" cy="2743200"/>
            <wp:effectExtent l="0" t="0" r="12700" b="12700"/>
            <wp:docPr id="527257126" name="Gráfico 1">
              <a:extLst xmlns:a="http://schemas.openxmlformats.org/drawingml/2006/main">
                <a:ext uri="{FF2B5EF4-FFF2-40B4-BE49-F238E27FC236}">
                  <a16:creationId xmlns:a16="http://schemas.microsoft.com/office/drawing/2014/main" id="{2CEB24DC-4A8B-304D-EB42-7DF8A217F6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FEFE91E" w14:textId="7DD3B163" w:rsidR="00B3080C" w:rsidRPr="00CB1BCD" w:rsidRDefault="00B3080C" w:rsidP="001C71C2">
      <w:pPr>
        <w:ind w:left="709" w:firstLine="709"/>
        <w:jc w:val="center"/>
        <w:rPr>
          <w:rFonts w:cs="Times New Roman"/>
          <w:lang w:val="es-MX"/>
        </w:rPr>
      </w:pPr>
      <w:r w:rsidRPr="00CB1BCD">
        <w:rPr>
          <w:rFonts w:cs="Times New Roman"/>
          <w:lang w:val="es-MX"/>
        </w:rPr>
        <w:t xml:space="preserve">Fuente: </w:t>
      </w:r>
      <w:r w:rsidR="00622B51" w:rsidRPr="00CB1BCD">
        <w:rPr>
          <w:rFonts w:cs="Times New Roman"/>
          <w:lang w:val="es-MX"/>
        </w:rPr>
        <w:t>e</w:t>
      </w:r>
      <w:r w:rsidRPr="00CB1BCD">
        <w:rPr>
          <w:rFonts w:cs="Times New Roman"/>
          <w:lang w:val="es-MX"/>
        </w:rPr>
        <w:t>laboración propia.</w:t>
      </w:r>
    </w:p>
    <w:p w14:paraId="0DA01602" w14:textId="77777777" w:rsidR="00956B0C" w:rsidRDefault="00956B0C" w:rsidP="001C71C2">
      <w:pPr>
        <w:rPr>
          <w:rFonts w:cs="Times New Roman"/>
        </w:rPr>
      </w:pPr>
    </w:p>
    <w:p w14:paraId="42A7ED1E" w14:textId="2192890A" w:rsidR="00B3080C" w:rsidRDefault="00B3080C" w:rsidP="001C71C2">
      <w:pPr>
        <w:rPr>
          <w:rFonts w:cs="Times New Roman"/>
        </w:rPr>
      </w:pPr>
      <w:r w:rsidRPr="00CB1BCD">
        <w:rPr>
          <w:rFonts w:cs="Times New Roman"/>
        </w:rPr>
        <w:t xml:space="preserve">El </w:t>
      </w:r>
      <w:r w:rsidR="00145EE9" w:rsidRPr="00CB1BCD">
        <w:rPr>
          <w:rFonts w:cs="Times New Roman"/>
        </w:rPr>
        <w:t xml:space="preserve">indicador </w:t>
      </w:r>
      <w:r w:rsidRPr="00CB1BCD">
        <w:rPr>
          <w:rFonts w:cs="Times New Roman"/>
        </w:rPr>
        <w:t>de bienestar parcial se calculó considerando un costo social del carbono de 75 USD/</w:t>
      </w:r>
      <w:proofErr w:type="spellStart"/>
      <w:r w:rsidRPr="00CB1BCD">
        <w:rPr>
          <w:rFonts w:cs="Times New Roman"/>
        </w:rPr>
        <w:t>tCO</w:t>
      </w:r>
      <w:proofErr w:type="spellEnd"/>
      <w:r w:rsidRPr="00CB1BCD">
        <w:rPr>
          <w:rFonts w:cs="Times New Roman"/>
        </w:rPr>
        <w:t>₂. La Tabla 4 muestra que, sin reciclaje de ingresos, el bienestar parcial es positivo en los escenarios de 25, 50, 75 y 100 USD/</w:t>
      </w:r>
      <w:proofErr w:type="spellStart"/>
      <w:r w:rsidRPr="00CB1BCD">
        <w:rPr>
          <w:rFonts w:cs="Times New Roman"/>
        </w:rPr>
        <w:t>tCO</w:t>
      </w:r>
      <w:proofErr w:type="spellEnd"/>
      <w:r w:rsidRPr="00CB1BCD">
        <w:rPr>
          <w:rFonts w:cs="Times New Roman"/>
        </w:rPr>
        <w:t>₂. En el escenario de 150 USD/</w:t>
      </w:r>
      <w:proofErr w:type="spellStart"/>
      <w:r w:rsidRPr="00CB1BCD">
        <w:rPr>
          <w:rFonts w:cs="Times New Roman"/>
        </w:rPr>
        <w:t>tCO</w:t>
      </w:r>
      <w:proofErr w:type="spellEnd"/>
      <w:r w:rsidRPr="00CB1BCD">
        <w:rPr>
          <w:rFonts w:cs="Times New Roman"/>
        </w:rPr>
        <w:t>₂, el beneficio ambiental y el costo de abatimiento se igualan, por lo que el bienestar parcial neto es igual a cero. A partir de 200 USD/</w:t>
      </w:r>
      <w:proofErr w:type="spellStart"/>
      <w:r w:rsidRPr="00CB1BCD">
        <w:rPr>
          <w:rFonts w:cs="Times New Roman"/>
        </w:rPr>
        <w:t>tCO</w:t>
      </w:r>
      <w:proofErr w:type="spellEnd"/>
      <w:r w:rsidRPr="00CB1BCD">
        <w:rPr>
          <w:rFonts w:cs="Times New Roman"/>
        </w:rPr>
        <w:t>₂, el bienestar parcial sin reciclaje se vuelve negativo.</w:t>
      </w:r>
    </w:p>
    <w:p w14:paraId="2B3E113C" w14:textId="77777777" w:rsidR="00956B0C" w:rsidRPr="00CB1BCD" w:rsidRDefault="00956B0C" w:rsidP="001C71C2">
      <w:pPr>
        <w:rPr>
          <w:rFonts w:cs="Times New Roman"/>
          <w:i/>
          <w:lang w:val="es-MX"/>
        </w:rPr>
      </w:pPr>
    </w:p>
    <w:p w14:paraId="79917560" w14:textId="18C96C6D" w:rsidR="00B3080C" w:rsidRPr="00CB1BCD" w:rsidRDefault="00B3080C" w:rsidP="001C71C2">
      <w:pPr>
        <w:pStyle w:val="Descripcin"/>
        <w:rPr>
          <w:rFonts w:cs="Times New Roman"/>
          <w:b w:val="0"/>
          <w:color w:val="auto"/>
          <w:lang w:val="es-MX"/>
        </w:rPr>
      </w:pPr>
      <w:r w:rsidRPr="00CB1BCD">
        <w:rPr>
          <w:rFonts w:cs="Times New Roman"/>
          <w:color w:val="auto"/>
        </w:rPr>
        <w:t xml:space="preserve">Tabla </w:t>
      </w:r>
      <w:r w:rsidRPr="00CB1BCD">
        <w:rPr>
          <w:rFonts w:cs="Times New Roman"/>
          <w:color w:val="auto"/>
        </w:rPr>
        <w:fldChar w:fldCharType="begin"/>
      </w:r>
      <w:r w:rsidRPr="00CB1BCD">
        <w:rPr>
          <w:rFonts w:cs="Times New Roman"/>
          <w:color w:val="auto"/>
        </w:rPr>
        <w:instrText xml:space="preserve"> SEQ Tabla \* ARABIC </w:instrText>
      </w:r>
      <w:r w:rsidRPr="00CB1BCD">
        <w:rPr>
          <w:rFonts w:cs="Times New Roman"/>
          <w:color w:val="auto"/>
        </w:rPr>
        <w:fldChar w:fldCharType="separate"/>
      </w:r>
      <w:r w:rsidR="003A49E0">
        <w:rPr>
          <w:rFonts w:cs="Times New Roman"/>
          <w:noProof/>
          <w:color w:val="auto"/>
        </w:rPr>
        <w:t>4</w:t>
      </w:r>
      <w:r w:rsidRPr="00CB1BCD">
        <w:rPr>
          <w:rFonts w:cs="Times New Roman"/>
          <w:color w:val="auto"/>
        </w:rPr>
        <w:fldChar w:fldCharType="end"/>
      </w:r>
      <w:r w:rsidRPr="00CB1BCD">
        <w:rPr>
          <w:rFonts w:cs="Times New Roman"/>
          <w:color w:val="auto"/>
        </w:rPr>
        <w:t xml:space="preserve">. </w:t>
      </w:r>
      <w:r w:rsidRPr="00CB1BCD">
        <w:rPr>
          <w:rFonts w:cs="Times New Roman"/>
          <w:b w:val="0"/>
          <w:color w:val="auto"/>
        </w:rPr>
        <w:t>Bienestar parcial sin reciclaje de ingresos</w:t>
      </w:r>
    </w:p>
    <w:tbl>
      <w:tblPr>
        <w:tblW w:w="5000" w:type="pct"/>
        <w:tblCellMar>
          <w:left w:w="70" w:type="dxa"/>
          <w:right w:w="70" w:type="dxa"/>
        </w:tblCellMar>
        <w:tblLook w:val="04A0" w:firstRow="1" w:lastRow="0" w:firstColumn="1" w:lastColumn="0" w:noHBand="0" w:noVBand="1"/>
      </w:tblPr>
      <w:tblGrid>
        <w:gridCol w:w="2517"/>
        <w:gridCol w:w="2516"/>
        <w:gridCol w:w="2516"/>
        <w:gridCol w:w="2516"/>
      </w:tblGrid>
      <w:tr w:rsidR="00B3080C" w:rsidRPr="00CB1BCD" w14:paraId="1D575C5F" w14:textId="77777777" w:rsidTr="00C828A2">
        <w:trPr>
          <w:trHeight w:val="340"/>
        </w:trPr>
        <w:tc>
          <w:tcPr>
            <w:tcW w:w="1250" w:type="pct"/>
            <w:tcBorders>
              <w:top w:val="single" w:sz="4" w:space="0" w:color="auto"/>
              <w:bottom w:val="single" w:sz="4" w:space="0" w:color="auto"/>
            </w:tcBorders>
            <w:vAlign w:val="center"/>
            <w:hideMark/>
          </w:tcPr>
          <w:p w14:paraId="32C05459" w14:textId="77777777" w:rsidR="00B3080C" w:rsidRPr="00CB1BCD" w:rsidRDefault="00B3080C" w:rsidP="001C71C2">
            <w:pPr>
              <w:jc w:val="center"/>
              <w:rPr>
                <w:rFonts w:eastAsia="Times New Roman" w:cs="Times New Roman"/>
                <w:b/>
                <w:bCs/>
                <w:color w:val="000000"/>
                <w:kern w:val="0"/>
                <w:lang w:val="es-MX" w:eastAsia="es-MX"/>
                <w14:ligatures w14:val="none"/>
              </w:rPr>
            </w:pPr>
            <w:r w:rsidRPr="00CB1BCD">
              <w:rPr>
                <w:rFonts w:eastAsia="Times New Roman" w:cs="Times New Roman"/>
                <w:b/>
                <w:bCs/>
                <w:color w:val="000000"/>
                <w:kern w:val="0"/>
                <w:lang w:val="es-MX" w:eastAsia="es-MX"/>
                <w14:ligatures w14:val="none"/>
              </w:rPr>
              <w:lastRenderedPageBreak/>
              <w:t>Precio al carbono (USD/tCO₂)</w:t>
            </w:r>
          </w:p>
        </w:tc>
        <w:tc>
          <w:tcPr>
            <w:tcW w:w="1250" w:type="pct"/>
            <w:tcBorders>
              <w:top w:val="single" w:sz="4" w:space="0" w:color="auto"/>
              <w:bottom w:val="single" w:sz="4" w:space="0" w:color="auto"/>
            </w:tcBorders>
            <w:vAlign w:val="center"/>
            <w:hideMark/>
          </w:tcPr>
          <w:p w14:paraId="1770A6D6" w14:textId="72599F3C" w:rsidR="00B3080C" w:rsidRPr="00CB1BCD" w:rsidRDefault="00B3080C" w:rsidP="001C71C2">
            <w:pPr>
              <w:jc w:val="center"/>
              <w:rPr>
                <w:rFonts w:eastAsia="Times New Roman" w:cs="Times New Roman"/>
                <w:b/>
                <w:bCs/>
                <w:color w:val="000000"/>
                <w:kern w:val="0"/>
                <w:lang w:val="es-MX" w:eastAsia="es-MX"/>
                <w14:ligatures w14:val="none"/>
              </w:rPr>
            </w:pPr>
            <w:r w:rsidRPr="00CB1BCD">
              <w:rPr>
                <w:rFonts w:eastAsia="Times New Roman" w:cs="Times New Roman"/>
                <w:b/>
                <w:bCs/>
                <w:color w:val="000000"/>
                <w:kern w:val="0"/>
                <w:lang w:val="es-MX" w:eastAsia="es-MX"/>
                <w14:ligatures w14:val="none"/>
              </w:rPr>
              <w:t xml:space="preserve">Beneficio ambiental (millones </w:t>
            </w:r>
            <w:r w:rsidR="00621673" w:rsidRPr="00CB1BCD">
              <w:rPr>
                <w:rFonts w:eastAsia="Times New Roman" w:cs="Times New Roman"/>
                <w:b/>
                <w:bCs/>
                <w:color w:val="000000"/>
                <w:kern w:val="0"/>
                <w:lang w:val="es-MX" w:eastAsia="es-MX"/>
                <w14:ligatures w14:val="none"/>
              </w:rPr>
              <w:t xml:space="preserve">de </w:t>
            </w:r>
            <w:r w:rsidRPr="00CB1BCD">
              <w:rPr>
                <w:rFonts w:eastAsia="Times New Roman" w:cs="Times New Roman"/>
                <w:b/>
                <w:bCs/>
                <w:color w:val="000000"/>
                <w:kern w:val="0"/>
                <w:lang w:val="es-MX" w:eastAsia="es-MX"/>
                <w14:ligatures w14:val="none"/>
              </w:rPr>
              <w:t>USD)</w:t>
            </w:r>
          </w:p>
        </w:tc>
        <w:tc>
          <w:tcPr>
            <w:tcW w:w="1250" w:type="pct"/>
            <w:tcBorders>
              <w:top w:val="single" w:sz="4" w:space="0" w:color="auto"/>
              <w:bottom w:val="single" w:sz="4" w:space="0" w:color="auto"/>
            </w:tcBorders>
            <w:vAlign w:val="center"/>
            <w:hideMark/>
          </w:tcPr>
          <w:p w14:paraId="57BD24AD" w14:textId="0C63EC91" w:rsidR="00B3080C" w:rsidRPr="00CB1BCD" w:rsidRDefault="00B3080C" w:rsidP="001C71C2">
            <w:pPr>
              <w:jc w:val="center"/>
              <w:rPr>
                <w:rFonts w:eastAsia="Times New Roman" w:cs="Times New Roman"/>
                <w:b/>
                <w:bCs/>
                <w:color w:val="000000"/>
                <w:kern w:val="0"/>
                <w:lang w:val="es-MX" w:eastAsia="es-MX"/>
                <w14:ligatures w14:val="none"/>
              </w:rPr>
            </w:pPr>
            <w:r w:rsidRPr="00CB1BCD">
              <w:rPr>
                <w:rFonts w:eastAsia="Times New Roman" w:cs="Times New Roman"/>
                <w:b/>
                <w:bCs/>
                <w:color w:val="000000"/>
                <w:kern w:val="0"/>
                <w:lang w:val="es-MX" w:eastAsia="es-MX"/>
                <w14:ligatures w14:val="none"/>
              </w:rPr>
              <w:t xml:space="preserve">Costo de abatimiento (millones </w:t>
            </w:r>
            <w:r w:rsidR="00621673" w:rsidRPr="00CB1BCD">
              <w:rPr>
                <w:rFonts w:eastAsia="Times New Roman" w:cs="Times New Roman"/>
                <w:b/>
                <w:bCs/>
                <w:color w:val="000000"/>
                <w:kern w:val="0"/>
                <w:lang w:val="es-MX" w:eastAsia="es-MX"/>
                <w14:ligatures w14:val="none"/>
              </w:rPr>
              <w:t xml:space="preserve">de </w:t>
            </w:r>
            <w:r w:rsidRPr="00CB1BCD">
              <w:rPr>
                <w:rFonts w:eastAsia="Times New Roman" w:cs="Times New Roman"/>
                <w:b/>
                <w:bCs/>
                <w:color w:val="000000"/>
                <w:kern w:val="0"/>
                <w:lang w:val="es-MX" w:eastAsia="es-MX"/>
                <w14:ligatures w14:val="none"/>
              </w:rPr>
              <w:t>USD)</w:t>
            </w:r>
          </w:p>
        </w:tc>
        <w:tc>
          <w:tcPr>
            <w:tcW w:w="1250" w:type="pct"/>
            <w:tcBorders>
              <w:top w:val="single" w:sz="4" w:space="0" w:color="auto"/>
              <w:bottom w:val="single" w:sz="4" w:space="0" w:color="auto"/>
            </w:tcBorders>
            <w:vAlign w:val="center"/>
            <w:hideMark/>
          </w:tcPr>
          <w:p w14:paraId="0E34DEE3" w14:textId="09076D1E" w:rsidR="00B3080C" w:rsidRPr="00CB1BCD" w:rsidRDefault="00B3080C" w:rsidP="001C71C2">
            <w:pPr>
              <w:jc w:val="center"/>
              <w:rPr>
                <w:rFonts w:eastAsia="Times New Roman" w:cs="Times New Roman"/>
                <w:b/>
                <w:bCs/>
                <w:color w:val="000000"/>
                <w:kern w:val="0"/>
                <w:lang w:val="es-MX" w:eastAsia="es-MX"/>
                <w14:ligatures w14:val="none"/>
              </w:rPr>
            </w:pPr>
            <w:r w:rsidRPr="00CB1BCD">
              <w:rPr>
                <w:rFonts w:eastAsia="Times New Roman" w:cs="Times New Roman"/>
                <w:b/>
                <w:bCs/>
                <w:color w:val="000000"/>
                <w:kern w:val="0"/>
                <w:lang w:val="es-MX" w:eastAsia="es-MX"/>
                <w14:ligatures w14:val="none"/>
              </w:rPr>
              <w:t xml:space="preserve">Bienestar parcial sin reciclaje (millones </w:t>
            </w:r>
            <w:r w:rsidR="00621673" w:rsidRPr="00CB1BCD">
              <w:rPr>
                <w:rFonts w:eastAsia="Times New Roman" w:cs="Times New Roman"/>
                <w:b/>
                <w:bCs/>
                <w:color w:val="000000"/>
                <w:kern w:val="0"/>
                <w:lang w:val="es-MX" w:eastAsia="es-MX"/>
                <w14:ligatures w14:val="none"/>
              </w:rPr>
              <w:t xml:space="preserve">de </w:t>
            </w:r>
            <w:r w:rsidRPr="00CB1BCD">
              <w:rPr>
                <w:rFonts w:eastAsia="Times New Roman" w:cs="Times New Roman"/>
                <w:b/>
                <w:bCs/>
                <w:color w:val="000000"/>
                <w:kern w:val="0"/>
                <w:lang w:val="es-MX" w:eastAsia="es-MX"/>
                <w14:ligatures w14:val="none"/>
              </w:rPr>
              <w:t>USD)</w:t>
            </w:r>
          </w:p>
        </w:tc>
      </w:tr>
      <w:tr w:rsidR="00B3080C" w:rsidRPr="00CB1BCD" w14:paraId="4AA56C15" w14:textId="77777777" w:rsidTr="00C828A2">
        <w:trPr>
          <w:trHeight w:val="340"/>
        </w:trPr>
        <w:tc>
          <w:tcPr>
            <w:tcW w:w="1250" w:type="pct"/>
            <w:tcBorders>
              <w:top w:val="single" w:sz="4" w:space="0" w:color="auto"/>
            </w:tcBorders>
            <w:vAlign w:val="center"/>
            <w:hideMark/>
          </w:tcPr>
          <w:p w14:paraId="3B7F5AF0"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25</w:t>
            </w:r>
          </w:p>
        </w:tc>
        <w:tc>
          <w:tcPr>
            <w:tcW w:w="1250" w:type="pct"/>
            <w:tcBorders>
              <w:top w:val="single" w:sz="4" w:space="0" w:color="auto"/>
            </w:tcBorders>
            <w:vAlign w:val="center"/>
            <w:hideMark/>
          </w:tcPr>
          <w:p w14:paraId="1FD08C65"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2,817.26</w:t>
            </w:r>
          </w:p>
        </w:tc>
        <w:tc>
          <w:tcPr>
            <w:tcW w:w="1250" w:type="pct"/>
            <w:tcBorders>
              <w:top w:val="single" w:sz="4" w:space="0" w:color="auto"/>
            </w:tcBorders>
            <w:vAlign w:val="center"/>
            <w:hideMark/>
          </w:tcPr>
          <w:p w14:paraId="1EA6C50D"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469.54</w:t>
            </w:r>
          </w:p>
        </w:tc>
        <w:tc>
          <w:tcPr>
            <w:tcW w:w="1250" w:type="pct"/>
            <w:tcBorders>
              <w:top w:val="single" w:sz="4" w:space="0" w:color="auto"/>
            </w:tcBorders>
            <w:vAlign w:val="center"/>
            <w:hideMark/>
          </w:tcPr>
          <w:p w14:paraId="7EE24CB3"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2,347.72</w:t>
            </w:r>
          </w:p>
        </w:tc>
      </w:tr>
      <w:tr w:rsidR="00B3080C" w:rsidRPr="00CB1BCD" w14:paraId="31271FED" w14:textId="77777777" w:rsidTr="00C828A2">
        <w:trPr>
          <w:trHeight w:val="340"/>
        </w:trPr>
        <w:tc>
          <w:tcPr>
            <w:tcW w:w="1250" w:type="pct"/>
            <w:vAlign w:val="center"/>
            <w:hideMark/>
          </w:tcPr>
          <w:p w14:paraId="4730419D"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50</w:t>
            </w:r>
          </w:p>
        </w:tc>
        <w:tc>
          <w:tcPr>
            <w:tcW w:w="1250" w:type="pct"/>
            <w:vAlign w:val="center"/>
            <w:hideMark/>
          </w:tcPr>
          <w:p w14:paraId="2151F1AA"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5,399.47</w:t>
            </w:r>
          </w:p>
        </w:tc>
        <w:tc>
          <w:tcPr>
            <w:tcW w:w="1250" w:type="pct"/>
            <w:vAlign w:val="center"/>
            <w:hideMark/>
          </w:tcPr>
          <w:p w14:paraId="5FB0C120"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1,799.82</w:t>
            </w:r>
          </w:p>
        </w:tc>
        <w:tc>
          <w:tcPr>
            <w:tcW w:w="1250" w:type="pct"/>
            <w:vAlign w:val="center"/>
            <w:hideMark/>
          </w:tcPr>
          <w:p w14:paraId="1AEDD593"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3,599.65</w:t>
            </w:r>
          </w:p>
        </w:tc>
      </w:tr>
      <w:tr w:rsidR="00B3080C" w:rsidRPr="00CB1BCD" w14:paraId="708A1D40" w14:textId="77777777" w:rsidTr="00C828A2">
        <w:trPr>
          <w:trHeight w:val="340"/>
        </w:trPr>
        <w:tc>
          <w:tcPr>
            <w:tcW w:w="1250" w:type="pct"/>
            <w:vAlign w:val="center"/>
            <w:hideMark/>
          </w:tcPr>
          <w:p w14:paraId="4500916D"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75</w:t>
            </w:r>
          </w:p>
        </w:tc>
        <w:tc>
          <w:tcPr>
            <w:tcW w:w="1250" w:type="pct"/>
            <w:vAlign w:val="center"/>
            <w:hideMark/>
          </w:tcPr>
          <w:p w14:paraId="41D7E3A1"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7,766.23</w:t>
            </w:r>
          </w:p>
        </w:tc>
        <w:tc>
          <w:tcPr>
            <w:tcW w:w="1250" w:type="pct"/>
            <w:vAlign w:val="center"/>
            <w:hideMark/>
          </w:tcPr>
          <w:p w14:paraId="124479F2"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3,883.12</w:t>
            </w:r>
          </w:p>
        </w:tc>
        <w:tc>
          <w:tcPr>
            <w:tcW w:w="1250" w:type="pct"/>
            <w:vAlign w:val="center"/>
            <w:hideMark/>
          </w:tcPr>
          <w:p w14:paraId="68070650"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3,883.12</w:t>
            </w:r>
          </w:p>
        </w:tc>
      </w:tr>
      <w:tr w:rsidR="00B3080C" w:rsidRPr="00CB1BCD" w14:paraId="4023CD8C" w14:textId="77777777" w:rsidTr="00C828A2">
        <w:trPr>
          <w:trHeight w:val="340"/>
        </w:trPr>
        <w:tc>
          <w:tcPr>
            <w:tcW w:w="1250" w:type="pct"/>
            <w:vAlign w:val="center"/>
            <w:hideMark/>
          </w:tcPr>
          <w:p w14:paraId="7D91198E"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100</w:t>
            </w:r>
          </w:p>
        </w:tc>
        <w:tc>
          <w:tcPr>
            <w:tcW w:w="1250" w:type="pct"/>
            <w:vAlign w:val="center"/>
            <w:hideMark/>
          </w:tcPr>
          <w:p w14:paraId="428E5FC9"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9,935.53</w:t>
            </w:r>
          </w:p>
        </w:tc>
        <w:tc>
          <w:tcPr>
            <w:tcW w:w="1250" w:type="pct"/>
            <w:vAlign w:val="center"/>
            <w:hideMark/>
          </w:tcPr>
          <w:p w14:paraId="6AFD7DF4"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6,623.68</w:t>
            </w:r>
          </w:p>
        </w:tc>
        <w:tc>
          <w:tcPr>
            <w:tcW w:w="1250" w:type="pct"/>
            <w:vAlign w:val="center"/>
            <w:hideMark/>
          </w:tcPr>
          <w:p w14:paraId="19D5F4FA"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3,311.84</w:t>
            </w:r>
          </w:p>
        </w:tc>
      </w:tr>
      <w:tr w:rsidR="00B3080C" w:rsidRPr="00CB1BCD" w14:paraId="39AB244D" w14:textId="77777777" w:rsidTr="00C828A2">
        <w:trPr>
          <w:trHeight w:val="340"/>
        </w:trPr>
        <w:tc>
          <w:tcPr>
            <w:tcW w:w="1250" w:type="pct"/>
            <w:vAlign w:val="center"/>
            <w:hideMark/>
          </w:tcPr>
          <w:p w14:paraId="38914C93"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150</w:t>
            </w:r>
          </w:p>
        </w:tc>
        <w:tc>
          <w:tcPr>
            <w:tcW w:w="1250" w:type="pct"/>
            <w:vAlign w:val="center"/>
            <w:hideMark/>
          </w:tcPr>
          <w:p w14:paraId="39337FA4"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13,746.23</w:t>
            </w:r>
          </w:p>
        </w:tc>
        <w:tc>
          <w:tcPr>
            <w:tcW w:w="1250" w:type="pct"/>
            <w:vAlign w:val="center"/>
            <w:hideMark/>
          </w:tcPr>
          <w:p w14:paraId="07B48110"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13,746.23</w:t>
            </w:r>
          </w:p>
        </w:tc>
        <w:tc>
          <w:tcPr>
            <w:tcW w:w="1250" w:type="pct"/>
            <w:vAlign w:val="center"/>
            <w:hideMark/>
          </w:tcPr>
          <w:p w14:paraId="32C7E50E" w14:textId="72502CD4"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0</w:t>
            </w:r>
            <w:r w:rsidR="00621673" w:rsidRPr="00CB1BCD">
              <w:rPr>
                <w:rFonts w:eastAsia="Times New Roman" w:cs="Times New Roman"/>
                <w:color w:val="000000"/>
                <w:kern w:val="0"/>
                <w:lang w:val="es-MX" w:eastAsia="es-MX"/>
                <w14:ligatures w14:val="none"/>
              </w:rPr>
              <w:t>.00</w:t>
            </w:r>
          </w:p>
        </w:tc>
      </w:tr>
      <w:tr w:rsidR="00B3080C" w:rsidRPr="00CB1BCD" w14:paraId="714391F2" w14:textId="77777777" w:rsidTr="00C828A2">
        <w:trPr>
          <w:trHeight w:val="340"/>
        </w:trPr>
        <w:tc>
          <w:tcPr>
            <w:tcW w:w="1250" w:type="pct"/>
            <w:vAlign w:val="center"/>
            <w:hideMark/>
          </w:tcPr>
          <w:p w14:paraId="759C6C1F"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200</w:t>
            </w:r>
          </w:p>
        </w:tc>
        <w:tc>
          <w:tcPr>
            <w:tcW w:w="1250" w:type="pct"/>
            <w:vAlign w:val="center"/>
            <w:hideMark/>
          </w:tcPr>
          <w:p w14:paraId="0CECCC6A"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16,947.58</w:t>
            </w:r>
          </w:p>
        </w:tc>
        <w:tc>
          <w:tcPr>
            <w:tcW w:w="1250" w:type="pct"/>
            <w:vAlign w:val="center"/>
            <w:hideMark/>
          </w:tcPr>
          <w:p w14:paraId="736AA83D"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22,596.77</w:t>
            </w:r>
          </w:p>
        </w:tc>
        <w:tc>
          <w:tcPr>
            <w:tcW w:w="1250" w:type="pct"/>
            <w:vAlign w:val="center"/>
            <w:hideMark/>
          </w:tcPr>
          <w:p w14:paraId="5DC53308" w14:textId="74830534" w:rsidR="00B3080C" w:rsidRPr="00CB1BCD" w:rsidRDefault="00621673" w:rsidP="001C71C2">
            <w:pPr>
              <w:jc w:val="center"/>
              <w:rPr>
                <w:rFonts w:eastAsia="Times New Roman" w:cs="Times New Roman"/>
                <w:color w:val="000000"/>
                <w:kern w:val="0"/>
                <w:lang w:val="es-MX" w:eastAsia="es-MX"/>
                <w14:ligatures w14:val="none"/>
              </w:rPr>
            </w:pPr>
            <w:r w:rsidRPr="00CB1BCD">
              <w:rPr>
                <w:rFonts w:cs="Times New Roman"/>
              </w:rPr>
              <w:t>−</w:t>
            </w:r>
            <w:r w:rsidR="00B3080C" w:rsidRPr="00CB1BCD">
              <w:rPr>
                <w:rFonts w:eastAsia="Times New Roman" w:cs="Times New Roman"/>
                <w:color w:val="000000"/>
                <w:kern w:val="0"/>
                <w:lang w:val="es-MX" w:eastAsia="es-MX"/>
                <w14:ligatures w14:val="none"/>
              </w:rPr>
              <w:t>5,649.19</w:t>
            </w:r>
          </w:p>
        </w:tc>
      </w:tr>
      <w:tr w:rsidR="00B3080C" w:rsidRPr="00CB1BCD" w14:paraId="7AA7BB12" w14:textId="77777777" w:rsidTr="00C828A2">
        <w:trPr>
          <w:trHeight w:val="340"/>
        </w:trPr>
        <w:tc>
          <w:tcPr>
            <w:tcW w:w="1250" w:type="pct"/>
            <w:vAlign w:val="center"/>
            <w:hideMark/>
          </w:tcPr>
          <w:p w14:paraId="4842DB2A"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250</w:t>
            </w:r>
          </w:p>
        </w:tc>
        <w:tc>
          <w:tcPr>
            <w:tcW w:w="1250" w:type="pct"/>
            <w:vAlign w:val="center"/>
            <w:hideMark/>
          </w:tcPr>
          <w:p w14:paraId="47DEA376"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19,637.01</w:t>
            </w:r>
          </w:p>
        </w:tc>
        <w:tc>
          <w:tcPr>
            <w:tcW w:w="1250" w:type="pct"/>
            <w:vAlign w:val="center"/>
            <w:hideMark/>
          </w:tcPr>
          <w:p w14:paraId="4331D177"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32,728.35</w:t>
            </w:r>
          </w:p>
        </w:tc>
        <w:tc>
          <w:tcPr>
            <w:tcW w:w="1250" w:type="pct"/>
            <w:vAlign w:val="center"/>
            <w:hideMark/>
          </w:tcPr>
          <w:p w14:paraId="693D95C6" w14:textId="4B20E879" w:rsidR="00B3080C" w:rsidRPr="00CB1BCD" w:rsidRDefault="00621673" w:rsidP="001C71C2">
            <w:pPr>
              <w:jc w:val="center"/>
              <w:rPr>
                <w:rFonts w:eastAsia="Times New Roman" w:cs="Times New Roman"/>
                <w:color w:val="000000"/>
                <w:kern w:val="0"/>
                <w:lang w:val="es-MX" w:eastAsia="es-MX"/>
                <w14:ligatures w14:val="none"/>
              </w:rPr>
            </w:pPr>
            <w:r w:rsidRPr="00CB1BCD">
              <w:rPr>
                <w:rFonts w:cs="Times New Roman"/>
              </w:rPr>
              <w:t>−</w:t>
            </w:r>
            <w:r w:rsidR="00B3080C" w:rsidRPr="00CB1BCD">
              <w:rPr>
                <w:rFonts w:eastAsia="Times New Roman" w:cs="Times New Roman"/>
                <w:color w:val="000000"/>
                <w:kern w:val="0"/>
                <w:lang w:val="es-MX" w:eastAsia="es-MX"/>
                <w14:ligatures w14:val="none"/>
              </w:rPr>
              <w:t>13,091.34</w:t>
            </w:r>
          </w:p>
        </w:tc>
      </w:tr>
      <w:tr w:rsidR="00B3080C" w:rsidRPr="00CB1BCD" w14:paraId="0F7D293C" w14:textId="77777777" w:rsidTr="00C828A2">
        <w:trPr>
          <w:trHeight w:val="340"/>
        </w:trPr>
        <w:tc>
          <w:tcPr>
            <w:tcW w:w="1250" w:type="pct"/>
            <w:tcBorders>
              <w:bottom w:val="single" w:sz="4" w:space="0" w:color="auto"/>
            </w:tcBorders>
            <w:vAlign w:val="center"/>
            <w:hideMark/>
          </w:tcPr>
          <w:p w14:paraId="0FC0A232"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286.96</w:t>
            </w:r>
          </w:p>
        </w:tc>
        <w:tc>
          <w:tcPr>
            <w:tcW w:w="1250" w:type="pct"/>
            <w:tcBorders>
              <w:bottom w:val="single" w:sz="4" w:space="0" w:color="auto"/>
            </w:tcBorders>
            <w:vAlign w:val="center"/>
            <w:hideMark/>
          </w:tcPr>
          <w:p w14:paraId="6C1B06FE"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21,344.33</w:t>
            </w:r>
          </w:p>
        </w:tc>
        <w:tc>
          <w:tcPr>
            <w:tcW w:w="1250" w:type="pct"/>
            <w:tcBorders>
              <w:bottom w:val="single" w:sz="4" w:space="0" w:color="auto"/>
            </w:tcBorders>
            <w:vAlign w:val="center"/>
            <w:hideMark/>
          </w:tcPr>
          <w:p w14:paraId="63E82C44" w14:textId="77777777" w:rsidR="00B3080C" w:rsidRPr="00CB1BCD" w:rsidRDefault="00B3080C"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40,832.46</w:t>
            </w:r>
          </w:p>
        </w:tc>
        <w:tc>
          <w:tcPr>
            <w:tcW w:w="1250" w:type="pct"/>
            <w:tcBorders>
              <w:bottom w:val="single" w:sz="4" w:space="0" w:color="auto"/>
            </w:tcBorders>
            <w:vAlign w:val="center"/>
            <w:hideMark/>
          </w:tcPr>
          <w:p w14:paraId="5CF71F6B" w14:textId="22021450" w:rsidR="00B3080C" w:rsidRPr="00CB1BCD" w:rsidRDefault="00621673" w:rsidP="001C71C2">
            <w:pPr>
              <w:jc w:val="center"/>
              <w:rPr>
                <w:rFonts w:eastAsia="Times New Roman" w:cs="Times New Roman"/>
                <w:color w:val="000000"/>
                <w:kern w:val="0"/>
                <w:lang w:val="es-MX" w:eastAsia="es-MX"/>
                <w14:ligatures w14:val="none"/>
              </w:rPr>
            </w:pPr>
            <w:r w:rsidRPr="00CB1BCD">
              <w:rPr>
                <w:rFonts w:cs="Times New Roman"/>
              </w:rPr>
              <w:t>−</w:t>
            </w:r>
            <w:r w:rsidR="00B3080C" w:rsidRPr="00CB1BCD">
              <w:rPr>
                <w:rFonts w:eastAsia="Times New Roman" w:cs="Times New Roman"/>
                <w:color w:val="000000"/>
                <w:kern w:val="0"/>
                <w:lang w:val="es-MX" w:eastAsia="es-MX"/>
                <w14:ligatures w14:val="none"/>
              </w:rPr>
              <w:t>19,488.13</w:t>
            </w:r>
          </w:p>
        </w:tc>
      </w:tr>
    </w:tbl>
    <w:p w14:paraId="792A422B" w14:textId="3A8EF217" w:rsidR="00B3080C" w:rsidRPr="00CB1BCD" w:rsidRDefault="00B3080C" w:rsidP="001C71C2">
      <w:pPr>
        <w:jc w:val="center"/>
        <w:rPr>
          <w:rFonts w:cs="Times New Roman"/>
          <w:lang w:val="es-MX"/>
        </w:rPr>
      </w:pPr>
      <w:r w:rsidRPr="00CB1BCD">
        <w:rPr>
          <w:rFonts w:cs="Times New Roman"/>
          <w:lang w:val="es-MX"/>
        </w:rPr>
        <w:t xml:space="preserve">Fuente: </w:t>
      </w:r>
      <w:r w:rsidR="00622B51" w:rsidRPr="00CB1BCD">
        <w:rPr>
          <w:rFonts w:cs="Times New Roman"/>
          <w:lang w:val="es-MX"/>
        </w:rPr>
        <w:t>e</w:t>
      </w:r>
      <w:r w:rsidRPr="00CB1BCD">
        <w:rPr>
          <w:rFonts w:cs="Times New Roman"/>
          <w:lang w:val="es-MX"/>
        </w:rPr>
        <w:t>laboración propia.</w:t>
      </w:r>
    </w:p>
    <w:p w14:paraId="6BED3782" w14:textId="09327456" w:rsidR="00145EE9" w:rsidRPr="00CB1BCD" w:rsidRDefault="00145EE9" w:rsidP="001C71C2">
      <w:pPr>
        <w:jc w:val="center"/>
        <w:rPr>
          <w:rFonts w:cs="Times New Roman"/>
          <w:lang w:val="es-MX"/>
        </w:rPr>
      </w:pPr>
      <w:r w:rsidRPr="00CB1BCD">
        <w:rPr>
          <w:rFonts w:cs="Times New Roman"/>
          <w:lang w:val="es-MX"/>
        </w:rPr>
        <w:t>Nota: los valores negativos indican que el costo estimado de abatimiento supera el beneficio ambiental monetizado.</w:t>
      </w:r>
    </w:p>
    <w:p w14:paraId="22F0CDCA" w14:textId="77777777" w:rsidR="00956B0C" w:rsidRDefault="00956B0C" w:rsidP="001C71C2">
      <w:pPr>
        <w:rPr>
          <w:rFonts w:cs="Times New Roman"/>
          <w:lang w:val="es-MX"/>
        </w:rPr>
      </w:pPr>
    </w:p>
    <w:p w14:paraId="30E9FA08" w14:textId="0727F50E" w:rsidR="005C7C3F" w:rsidRDefault="005C7C3F" w:rsidP="001C71C2">
      <w:pPr>
        <w:rPr>
          <w:rFonts w:cs="Times New Roman"/>
          <w:lang w:val="es-MX"/>
        </w:rPr>
      </w:pPr>
      <w:r w:rsidRPr="00CB1BCD">
        <w:rPr>
          <w:rFonts w:cs="Times New Roman"/>
          <w:lang w:val="es-MX"/>
        </w:rPr>
        <w:t xml:space="preserve">Estos resultados permiten distinguir entre el máximo recaudatorio y el </w:t>
      </w:r>
      <w:r w:rsidR="00145EE9" w:rsidRPr="00CB1BCD">
        <w:rPr>
          <w:rFonts w:cs="Times New Roman"/>
          <w:lang w:val="es-MX"/>
        </w:rPr>
        <w:t>comportamiento del</w:t>
      </w:r>
      <w:r w:rsidRPr="00CB1BCD">
        <w:rPr>
          <w:rFonts w:cs="Times New Roman"/>
          <w:lang w:val="es-MX"/>
        </w:rPr>
        <w:t xml:space="preserve"> bienestar parcial sin reciclaje. Aunque la recaudación potencial alcanza su punto máximo alrededor de 286.96 USD/tCO₂, el bienestar parcial sin reciclaje se vuelve negativo antes de ese nivel. </w:t>
      </w:r>
      <w:r w:rsidR="00145EE9" w:rsidRPr="00CB1BCD">
        <w:rPr>
          <w:rFonts w:cs="Times New Roman"/>
          <w:lang w:val="es-MX"/>
        </w:rPr>
        <w:t>Entre los precios evaluados, el mayor valor del indicador de bienestar parcial sin reciclaje se observa en 75 USD/tCO₂; p</w:t>
      </w:r>
      <w:r w:rsidRPr="00CB1BCD">
        <w:rPr>
          <w:rFonts w:cs="Times New Roman"/>
          <w:lang w:val="es-MX"/>
        </w:rPr>
        <w:t xml:space="preserve">or tanto, el precio que maximiza la recaudación no coincide con el </w:t>
      </w:r>
      <w:r w:rsidR="001E062D" w:rsidRPr="00CB1BCD">
        <w:rPr>
          <w:rFonts w:cs="Times New Roman"/>
          <w:lang w:val="es-MX"/>
        </w:rPr>
        <w:t xml:space="preserve">mayor valor del indicador de </w:t>
      </w:r>
      <w:r w:rsidRPr="00CB1BCD">
        <w:rPr>
          <w:rFonts w:cs="Times New Roman"/>
          <w:lang w:val="es-MX"/>
        </w:rPr>
        <w:t xml:space="preserve">bienestar parcial </w:t>
      </w:r>
      <w:r w:rsidR="001E062D" w:rsidRPr="00CB1BCD">
        <w:rPr>
          <w:rFonts w:cs="Times New Roman"/>
          <w:lang w:val="es-MX"/>
        </w:rPr>
        <w:t>entre los precios evaluados</w:t>
      </w:r>
      <w:r w:rsidRPr="00CB1BCD">
        <w:rPr>
          <w:rFonts w:cs="Times New Roman"/>
          <w:lang w:val="es-MX"/>
        </w:rPr>
        <w:t>.</w:t>
      </w:r>
    </w:p>
    <w:p w14:paraId="05EC809D" w14:textId="77777777" w:rsidR="00956B0C" w:rsidRPr="00CB1BCD" w:rsidRDefault="00956B0C" w:rsidP="001C71C2">
      <w:pPr>
        <w:rPr>
          <w:rFonts w:cs="Times New Roman"/>
          <w:lang w:val="es-MX"/>
        </w:rPr>
      </w:pPr>
    </w:p>
    <w:p w14:paraId="1B29C533" w14:textId="52BC3897" w:rsidR="005C7C3F" w:rsidRDefault="005C7C3F" w:rsidP="001C71C2">
      <w:pPr>
        <w:rPr>
          <w:rFonts w:cs="Times New Roman"/>
          <w:lang w:val="es-MX"/>
        </w:rPr>
      </w:pPr>
      <w:r w:rsidRPr="00CB1BCD">
        <w:rPr>
          <w:rFonts w:cs="Times New Roman"/>
          <w:lang w:val="es-MX"/>
        </w:rPr>
        <w:t xml:space="preserve">La Tabla 5 incorpora escenarios de reciclaje de ingresos. Cuando se recicla </w:t>
      </w:r>
      <w:r w:rsidR="001E062D" w:rsidRPr="00CB1BCD">
        <w:rPr>
          <w:rFonts w:cs="Times New Roman"/>
          <w:lang w:val="es-MX"/>
        </w:rPr>
        <w:t xml:space="preserve">el </w:t>
      </w:r>
      <w:r w:rsidRPr="00CB1BCD">
        <w:rPr>
          <w:rFonts w:cs="Times New Roman"/>
          <w:lang w:val="es-MX"/>
        </w:rPr>
        <w:t>25% de la recaudación, el bienestar parcial mejora en todos los escenarios hasta 200 USD/tCO₂, aunque se vuelve negativo en niveles más altos. Con reciclaje de</w:t>
      </w:r>
      <w:r w:rsidR="001E062D" w:rsidRPr="00CB1BCD">
        <w:rPr>
          <w:rFonts w:cs="Times New Roman"/>
          <w:lang w:val="es-MX"/>
        </w:rPr>
        <w:t>l</w:t>
      </w:r>
      <w:r w:rsidRPr="00CB1BCD">
        <w:rPr>
          <w:rFonts w:cs="Times New Roman"/>
          <w:lang w:val="es-MX"/>
        </w:rPr>
        <w:t xml:space="preserve"> 50%, el bienestar permanece positivo </w:t>
      </w:r>
      <w:r w:rsidR="001E062D" w:rsidRPr="00CB1BCD">
        <w:rPr>
          <w:rFonts w:cs="Times New Roman"/>
          <w:lang w:val="es-MX"/>
        </w:rPr>
        <w:t xml:space="preserve">en los valores presentados </w:t>
      </w:r>
      <w:r w:rsidRPr="00CB1BCD">
        <w:rPr>
          <w:rFonts w:cs="Times New Roman"/>
          <w:lang w:val="es-MX"/>
        </w:rPr>
        <w:t>hasta 300 USD/tCO₂. Con reciclaje total, el bienestar parcial se mantiene positivo en todos los escenarios presentados.</w:t>
      </w:r>
    </w:p>
    <w:p w14:paraId="1783975F" w14:textId="77777777" w:rsidR="00956B0C" w:rsidRPr="00CB1BCD" w:rsidRDefault="00956B0C" w:rsidP="001C71C2">
      <w:pPr>
        <w:rPr>
          <w:rFonts w:cs="Times New Roman"/>
          <w:lang w:val="es-MX"/>
        </w:rPr>
      </w:pPr>
    </w:p>
    <w:p w14:paraId="1A5DB087" w14:textId="1DCE322E" w:rsidR="005C7C3F" w:rsidRPr="00CB1BCD" w:rsidRDefault="005C7C3F" w:rsidP="001C71C2">
      <w:pPr>
        <w:pStyle w:val="Descripcin"/>
        <w:keepNext/>
        <w:rPr>
          <w:rFonts w:cs="Times New Roman"/>
          <w:i w:val="0"/>
          <w:color w:val="auto"/>
          <w:lang w:val="es-MX"/>
        </w:rPr>
      </w:pPr>
      <w:r w:rsidRPr="00CB1BCD">
        <w:rPr>
          <w:rFonts w:cs="Times New Roman"/>
          <w:i w:val="0"/>
          <w:color w:val="auto"/>
        </w:rPr>
        <w:lastRenderedPageBreak/>
        <w:t xml:space="preserve">Tabla </w:t>
      </w:r>
      <w:r w:rsidRPr="00CB1BCD">
        <w:rPr>
          <w:rFonts w:cs="Times New Roman"/>
          <w:i w:val="0"/>
          <w:color w:val="auto"/>
        </w:rPr>
        <w:fldChar w:fldCharType="begin"/>
      </w:r>
      <w:r w:rsidRPr="00CB1BCD">
        <w:rPr>
          <w:rFonts w:cs="Times New Roman"/>
          <w:i w:val="0"/>
          <w:color w:val="auto"/>
        </w:rPr>
        <w:instrText xml:space="preserve"> SEQ Tabla \* ARABIC </w:instrText>
      </w:r>
      <w:r w:rsidRPr="00CB1BCD">
        <w:rPr>
          <w:rFonts w:cs="Times New Roman"/>
          <w:i w:val="0"/>
          <w:color w:val="auto"/>
        </w:rPr>
        <w:fldChar w:fldCharType="separate"/>
      </w:r>
      <w:r w:rsidR="003A49E0">
        <w:rPr>
          <w:rFonts w:cs="Times New Roman"/>
          <w:i w:val="0"/>
          <w:noProof/>
          <w:color w:val="auto"/>
        </w:rPr>
        <w:t>5</w:t>
      </w:r>
      <w:r w:rsidRPr="00CB1BCD">
        <w:rPr>
          <w:rFonts w:cs="Times New Roman"/>
          <w:i w:val="0"/>
          <w:color w:val="auto"/>
        </w:rPr>
        <w:fldChar w:fldCharType="end"/>
      </w:r>
      <w:r w:rsidRPr="00CB1BCD">
        <w:rPr>
          <w:rFonts w:cs="Times New Roman"/>
          <w:i w:val="0"/>
          <w:color w:val="auto"/>
        </w:rPr>
        <w:t xml:space="preserve">. </w:t>
      </w:r>
      <w:r w:rsidRPr="00CB1BCD">
        <w:rPr>
          <w:rFonts w:cs="Times New Roman"/>
          <w:b w:val="0"/>
          <w:color w:val="auto"/>
        </w:rPr>
        <w:t>Bienestar parcial bajo escenarios de reciclaje de ingreso</w:t>
      </w:r>
      <w:r w:rsidR="00622B51" w:rsidRPr="00CB1BCD">
        <w:rPr>
          <w:rFonts w:cs="Times New Roman"/>
          <w:b w:val="0"/>
          <w:color w:val="auto"/>
        </w:rPr>
        <w:t>s</w:t>
      </w:r>
    </w:p>
    <w:tbl>
      <w:tblPr>
        <w:tblW w:w="5000" w:type="pct"/>
        <w:tblCellMar>
          <w:left w:w="70" w:type="dxa"/>
          <w:right w:w="70" w:type="dxa"/>
        </w:tblCellMar>
        <w:tblLook w:val="04A0" w:firstRow="1" w:lastRow="0" w:firstColumn="1" w:lastColumn="0" w:noHBand="0" w:noVBand="1"/>
      </w:tblPr>
      <w:tblGrid>
        <w:gridCol w:w="2013"/>
        <w:gridCol w:w="2013"/>
        <w:gridCol w:w="2013"/>
        <w:gridCol w:w="2013"/>
        <w:gridCol w:w="2013"/>
      </w:tblGrid>
      <w:tr w:rsidR="005C7C3F" w:rsidRPr="00CB1BCD" w14:paraId="07B8EBE8" w14:textId="77777777" w:rsidTr="007F09A3">
        <w:trPr>
          <w:trHeight w:val="340"/>
          <w:tblHeader/>
        </w:trPr>
        <w:tc>
          <w:tcPr>
            <w:tcW w:w="1000" w:type="pct"/>
            <w:tcBorders>
              <w:top w:val="single" w:sz="4" w:space="0" w:color="auto"/>
              <w:bottom w:val="single" w:sz="4" w:space="0" w:color="auto"/>
            </w:tcBorders>
            <w:vAlign w:val="center"/>
            <w:hideMark/>
          </w:tcPr>
          <w:p w14:paraId="222BC6CA" w14:textId="77777777" w:rsidR="005C7C3F" w:rsidRPr="00CB1BCD" w:rsidRDefault="005C7C3F" w:rsidP="001C71C2">
            <w:pPr>
              <w:jc w:val="center"/>
              <w:rPr>
                <w:rFonts w:eastAsia="Times New Roman" w:cs="Times New Roman"/>
                <w:b/>
                <w:bCs/>
                <w:color w:val="000000"/>
                <w:kern w:val="0"/>
                <w:lang w:val="es-MX" w:eastAsia="es-MX"/>
                <w14:ligatures w14:val="none"/>
              </w:rPr>
            </w:pPr>
            <w:r w:rsidRPr="00CB1BCD">
              <w:rPr>
                <w:rFonts w:eastAsia="Times New Roman" w:cs="Times New Roman"/>
                <w:b/>
                <w:bCs/>
                <w:color w:val="000000"/>
                <w:kern w:val="0"/>
                <w:lang w:val="es-MX" w:eastAsia="es-MX"/>
                <w14:ligatures w14:val="none"/>
              </w:rPr>
              <w:t>Precio al carbono (USD/tCO₂)</w:t>
            </w:r>
          </w:p>
        </w:tc>
        <w:tc>
          <w:tcPr>
            <w:tcW w:w="1000" w:type="pct"/>
            <w:tcBorders>
              <w:top w:val="single" w:sz="4" w:space="0" w:color="auto"/>
              <w:bottom w:val="single" w:sz="4" w:space="0" w:color="auto"/>
            </w:tcBorders>
            <w:vAlign w:val="center"/>
            <w:hideMark/>
          </w:tcPr>
          <w:p w14:paraId="0475FADE" w14:textId="526378A8" w:rsidR="005C7C3F" w:rsidRPr="00CB1BCD" w:rsidRDefault="005C7C3F" w:rsidP="001C71C2">
            <w:pPr>
              <w:jc w:val="center"/>
              <w:rPr>
                <w:rFonts w:eastAsia="Times New Roman" w:cs="Times New Roman"/>
                <w:b/>
                <w:bCs/>
                <w:color w:val="000000"/>
                <w:kern w:val="0"/>
                <w:lang w:val="es-MX" w:eastAsia="es-MX"/>
                <w14:ligatures w14:val="none"/>
              </w:rPr>
            </w:pPr>
            <w:r w:rsidRPr="00CB1BCD">
              <w:rPr>
                <w:rFonts w:eastAsia="Times New Roman" w:cs="Times New Roman"/>
                <w:b/>
                <w:bCs/>
                <w:color w:val="000000"/>
                <w:kern w:val="0"/>
                <w:lang w:val="es-MX" w:eastAsia="es-MX"/>
                <w14:ligatures w14:val="none"/>
              </w:rPr>
              <w:t>Sin reciclaje</w:t>
            </w:r>
            <w:r w:rsidR="00621673" w:rsidRPr="00CB1BCD">
              <w:rPr>
                <w:rFonts w:eastAsia="Times New Roman" w:cs="Times New Roman"/>
                <w:b/>
                <w:bCs/>
                <w:color w:val="000000"/>
                <w:kern w:val="0"/>
                <w:lang w:val="es-MX" w:eastAsia="es-MX"/>
                <w14:ligatures w14:val="none"/>
              </w:rPr>
              <w:t xml:space="preserve"> (millones de USD)</w:t>
            </w:r>
          </w:p>
        </w:tc>
        <w:tc>
          <w:tcPr>
            <w:tcW w:w="1000" w:type="pct"/>
            <w:tcBorders>
              <w:top w:val="single" w:sz="4" w:space="0" w:color="auto"/>
              <w:bottom w:val="single" w:sz="4" w:space="0" w:color="auto"/>
            </w:tcBorders>
            <w:vAlign w:val="center"/>
            <w:hideMark/>
          </w:tcPr>
          <w:p w14:paraId="3D25D510" w14:textId="30C030E4" w:rsidR="005C7C3F" w:rsidRPr="00CB1BCD" w:rsidRDefault="005C7C3F" w:rsidP="001C71C2">
            <w:pPr>
              <w:jc w:val="center"/>
              <w:rPr>
                <w:rFonts w:eastAsia="Times New Roman" w:cs="Times New Roman"/>
                <w:b/>
                <w:bCs/>
                <w:color w:val="000000"/>
                <w:kern w:val="0"/>
                <w:lang w:val="es-MX" w:eastAsia="es-MX"/>
                <w14:ligatures w14:val="none"/>
              </w:rPr>
            </w:pPr>
            <w:r w:rsidRPr="00CB1BCD">
              <w:rPr>
                <w:rFonts w:eastAsia="Times New Roman" w:cs="Times New Roman"/>
                <w:b/>
                <w:bCs/>
                <w:color w:val="000000"/>
                <w:kern w:val="0"/>
                <w:lang w:val="es-MX" w:eastAsia="es-MX"/>
                <w14:ligatures w14:val="none"/>
              </w:rPr>
              <w:t xml:space="preserve">Reciclaje </w:t>
            </w:r>
            <w:r w:rsidR="007E585F" w:rsidRPr="00CB1BCD">
              <w:rPr>
                <w:rFonts w:eastAsia="Times New Roman" w:cs="Times New Roman"/>
                <w:b/>
                <w:bCs/>
                <w:color w:val="000000"/>
                <w:kern w:val="0"/>
                <w:lang w:val="es-MX" w:eastAsia="es-MX"/>
                <w14:ligatures w14:val="none"/>
              </w:rPr>
              <w:t xml:space="preserve">del </w:t>
            </w:r>
            <w:r w:rsidRPr="00CB1BCD">
              <w:rPr>
                <w:rFonts w:eastAsia="Times New Roman" w:cs="Times New Roman"/>
                <w:b/>
                <w:bCs/>
                <w:color w:val="000000"/>
                <w:kern w:val="0"/>
                <w:lang w:val="es-MX" w:eastAsia="es-MX"/>
                <w14:ligatures w14:val="none"/>
              </w:rPr>
              <w:t>25%</w:t>
            </w:r>
            <w:r w:rsidR="00621673" w:rsidRPr="00CB1BCD">
              <w:rPr>
                <w:rFonts w:eastAsia="Times New Roman" w:cs="Times New Roman"/>
                <w:b/>
                <w:bCs/>
                <w:color w:val="000000"/>
                <w:kern w:val="0"/>
                <w:lang w:val="es-MX" w:eastAsia="es-MX"/>
                <w14:ligatures w14:val="none"/>
              </w:rPr>
              <w:t xml:space="preserve"> (millones de USD)</w:t>
            </w:r>
          </w:p>
        </w:tc>
        <w:tc>
          <w:tcPr>
            <w:tcW w:w="1000" w:type="pct"/>
            <w:tcBorders>
              <w:top w:val="single" w:sz="4" w:space="0" w:color="auto"/>
              <w:bottom w:val="single" w:sz="4" w:space="0" w:color="auto"/>
            </w:tcBorders>
            <w:vAlign w:val="center"/>
            <w:hideMark/>
          </w:tcPr>
          <w:p w14:paraId="6F6BAC6A" w14:textId="42919E39" w:rsidR="005C7C3F" w:rsidRPr="00CB1BCD" w:rsidRDefault="005C7C3F" w:rsidP="001C71C2">
            <w:pPr>
              <w:jc w:val="center"/>
              <w:rPr>
                <w:rFonts w:eastAsia="Times New Roman" w:cs="Times New Roman"/>
                <w:b/>
                <w:bCs/>
                <w:color w:val="000000"/>
                <w:kern w:val="0"/>
                <w:lang w:val="es-MX" w:eastAsia="es-MX"/>
                <w14:ligatures w14:val="none"/>
              </w:rPr>
            </w:pPr>
            <w:r w:rsidRPr="00CB1BCD">
              <w:rPr>
                <w:rFonts w:eastAsia="Times New Roman" w:cs="Times New Roman"/>
                <w:b/>
                <w:bCs/>
                <w:color w:val="000000"/>
                <w:kern w:val="0"/>
                <w:lang w:val="es-MX" w:eastAsia="es-MX"/>
                <w14:ligatures w14:val="none"/>
              </w:rPr>
              <w:t xml:space="preserve">Reciclaje </w:t>
            </w:r>
            <w:r w:rsidR="007E585F" w:rsidRPr="00CB1BCD">
              <w:rPr>
                <w:rFonts w:eastAsia="Times New Roman" w:cs="Times New Roman"/>
                <w:b/>
                <w:bCs/>
                <w:color w:val="000000"/>
                <w:kern w:val="0"/>
                <w:lang w:val="es-MX" w:eastAsia="es-MX"/>
                <w14:ligatures w14:val="none"/>
              </w:rPr>
              <w:t xml:space="preserve">del </w:t>
            </w:r>
            <w:r w:rsidRPr="00CB1BCD">
              <w:rPr>
                <w:rFonts w:eastAsia="Times New Roman" w:cs="Times New Roman"/>
                <w:b/>
                <w:bCs/>
                <w:color w:val="000000"/>
                <w:kern w:val="0"/>
                <w:lang w:val="es-MX" w:eastAsia="es-MX"/>
                <w14:ligatures w14:val="none"/>
              </w:rPr>
              <w:t>50%</w:t>
            </w:r>
            <w:r w:rsidR="00621673" w:rsidRPr="00CB1BCD">
              <w:rPr>
                <w:rFonts w:eastAsia="Times New Roman" w:cs="Times New Roman"/>
                <w:b/>
                <w:bCs/>
                <w:color w:val="000000"/>
                <w:kern w:val="0"/>
                <w:lang w:val="es-MX" w:eastAsia="es-MX"/>
                <w14:ligatures w14:val="none"/>
              </w:rPr>
              <w:t xml:space="preserve"> (millones de USD)</w:t>
            </w:r>
          </w:p>
        </w:tc>
        <w:tc>
          <w:tcPr>
            <w:tcW w:w="1000" w:type="pct"/>
            <w:tcBorders>
              <w:top w:val="single" w:sz="4" w:space="0" w:color="auto"/>
              <w:bottom w:val="single" w:sz="4" w:space="0" w:color="auto"/>
            </w:tcBorders>
            <w:vAlign w:val="center"/>
            <w:hideMark/>
          </w:tcPr>
          <w:p w14:paraId="10C2440A" w14:textId="350970B9" w:rsidR="005C7C3F" w:rsidRPr="00CB1BCD" w:rsidRDefault="005C7C3F" w:rsidP="001C71C2">
            <w:pPr>
              <w:jc w:val="center"/>
              <w:rPr>
                <w:rFonts w:eastAsia="Times New Roman" w:cs="Times New Roman"/>
                <w:b/>
                <w:bCs/>
                <w:color w:val="000000"/>
                <w:kern w:val="0"/>
                <w:lang w:val="es-MX" w:eastAsia="es-MX"/>
                <w14:ligatures w14:val="none"/>
              </w:rPr>
            </w:pPr>
            <w:r w:rsidRPr="00CB1BCD">
              <w:rPr>
                <w:rFonts w:eastAsia="Times New Roman" w:cs="Times New Roman"/>
                <w:b/>
                <w:bCs/>
                <w:color w:val="000000"/>
                <w:kern w:val="0"/>
                <w:lang w:val="es-MX" w:eastAsia="es-MX"/>
                <w14:ligatures w14:val="none"/>
              </w:rPr>
              <w:t xml:space="preserve">Reciclaje </w:t>
            </w:r>
            <w:r w:rsidR="007E585F" w:rsidRPr="00CB1BCD">
              <w:rPr>
                <w:rFonts w:eastAsia="Times New Roman" w:cs="Times New Roman"/>
                <w:b/>
                <w:bCs/>
                <w:color w:val="000000"/>
                <w:kern w:val="0"/>
                <w:lang w:val="es-MX" w:eastAsia="es-MX"/>
                <w14:ligatures w14:val="none"/>
              </w:rPr>
              <w:t xml:space="preserve">del </w:t>
            </w:r>
            <w:r w:rsidRPr="00CB1BCD">
              <w:rPr>
                <w:rFonts w:eastAsia="Times New Roman" w:cs="Times New Roman"/>
                <w:b/>
                <w:bCs/>
                <w:color w:val="000000"/>
                <w:kern w:val="0"/>
                <w:lang w:val="es-MX" w:eastAsia="es-MX"/>
                <w14:ligatures w14:val="none"/>
              </w:rPr>
              <w:t>100%</w:t>
            </w:r>
            <w:r w:rsidR="00621673" w:rsidRPr="00CB1BCD">
              <w:rPr>
                <w:rFonts w:eastAsia="Times New Roman" w:cs="Times New Roman"/>
                <w:b/>
                <w:bCs/>
                <w:color w:val="000000"/>
                <w:kern w:val="0"/>
                <w:lang w:val="es-MX" w:eastAsia="es-MX"/>
                <w14:ligatures w14:val="none"/>
              </w:rPr>
              <w:t xml:space="preserve"> (millones de USD)</w:t>
            </w:r>
          </w:p>
        </w:tc>
      </w:tr>
      <w:tr w:rsidR="005C7C3F" w:rsidRPr="00CB1BCD" w14:paraId="4F6463DD" w14:textId="77777777" w:rsidTr="007F09A3">
        <w:trPr>
          <w:trHeight w:val="340"/>
        </w:trPr>
        <w:tc>
          <w:tcPr>
            <w:tcW w:w="1000" w:type="pct"/>
            <w:tcBorders>
              <w:top w:val="single" w:sz="4" w:space="0" w:color="auto"/>
            </w:tcBorders>
            <w:vAlign w:val="center"/>
            <w:hideMark/>
          </w:tcPr>
          <w:p w14:paraId="5C3EE691"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25</w:t>
            </w:r>
          </w:p>
        </w:tc>
        <w:tc>
          <w:tcPr>
            <w:tcW w:w="1000" w:type="pct"/>
            <w:tcBorders>
              <w:top w:val="single" w:sz="4" w:space="0" w:color="auto"/>
            </w:tcBorders>
            <w:vAlign w:val="center"/>
            <w:hideMark/>
          </w:tcPr>
          <w:p w14:paraId="742026DC"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2,347.72</w:t>
            </w:r>
          </w:p>
        </w:tc>
        <w:tc>
          <w:tcPr>
            <w:tcW w:w="1000" w:type="pct"/>
            <w:tcBorders>
              <w:top w:val="single" w:sz="4" w:space="0" w:color="auto"/>
            </w:tcBorders>
            <w:vAlign w:val="center"/>
            <w:hideMark/>
          </w:tcPr>
          <w:p w14:paraId="107FAC21"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4,926.80</w:t>
            </w:r>
          </w:p>
        </w:tc>
        <w:tc>
          <w:tcPr>
            <w:tcW w:w="1000" w:type="pct"/>
            <w:tcBorders>
              <w:top w:val="single" w:sz="4" w:space="0" w:color="auto"/>
            </w:tcBorders>
            <w:vAlign w:val="center"/>
            <w:hideMark/>
          </w:tcPr>
          <w:p w14:paraId="0CFB182D"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7,505.88</w:t>
            </w:r>
          </w:p>
        </w:tc>
        <w:tc>
          <w:tcPr>
            <w:tcW w:w="1000" w:type="pct"/>
            <w:tcBorders>
              <w:top w:val="single" w:sz="4" w:space="0" w:color="auto"/>
            </w:tcBorders>
            <w:vAlign w:val="center"/>
            <w:hideMark/>
          </w:tcPr>
          <w:p w14:paraId="17DB33F1"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12,664.04</w:t>
            </w:r>
          </w:p>
        </w:tc>
      </w:tr>
      <w:tr w:rsidR="005C7C3F" w:rsidRPr="00CB1BCD" w14:paraId="3A96E956" w14:textId="77777777" w:rsidTr="007F09A3">
        <w:trPr>
          <w:trHeight w:val="340"/>
        </w:trPr>
        <w:tc>
          <w:tcPr>
            <w:tcW w:w="1000" w:type="pct"/>
            <w:vAlign w:val="center"/>
            <w:hideMark/>
          </w:tcPr>
          <w:p w14:paraId="595801C8"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50</w:t>
            </w:r>
          </w:p>
        </w:tc>
        <w:tc>
          <w:tcPr>
            <w:tcW w:w="1000" w:type="pct"/>
            <w:vAlign w:val="center"/>
            <w:hideMark/>
          </w:tcPr>
          <w:p w14:paraId="20493019"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3,599.65</w:t>
            </w:r>
          </w:p>
        </w:tc>
        <w:tc>
          <w:tcPr>
            <w:tcW w:w="1000" w:type="pct"/>
            <w:vAlign w:val="center"/>
            <w:hideMark/>
          </w:tcPr>
          <w:p w14:paraId="32C6EBC6"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8,327.44</w:t>
            </w:r>
          </w:p>
        </w:tc>
        <w:tc>
          <w:tcPr>
            <w:tcW w:w="1000" w:type="pct"/>
            <w:vAlign w:val="center"/>
            <w:hideMark/>
          </w:tcPr>
          <w:p w14:paraId="144FE9B8"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13,055.24</w:t>
            </w:r>
          </w:p>
        </w:tc>
        <w:tc>
          <w:tcPr>
            <w:tcW w:w="1000" w:type="pct"/>
            <w:vAlign w:val="center"/>
            <w:hideMark/>
          </w:tcPr>
          <w:p w14:paraId="58C5E2B4"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22,510.82</w:t>
            </w:r>
          </w:p>
        </w:tc>
      </w:tr>
      <w:tr w:rsidR="005C7C3F" w:rsidRPr="00CB1BCD" w14:paraId="4C326544" w14:textId="77777777" w:rsidTr="007F09A3">
        <w:trPr>
          <w:trHeight w:val="340"/>
        </w:trPr>
        <w:tc>
          <w:tcPr>
            <w:tcW w:w="1000" w:type="pct"/>
            <w:vAlign w:val="center"/>
            <w:hideMark/>
          </w:tcPr>
          <w:p w14:paraId="4A8248D4"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75</w:t>
            </w:r>
          </w:p>
        </w:tc>
        <w:tc>
          <w:tcPr>
            <w:tcW w:w="1000" w:type="pct"/>
            <w:vAlign w:val="center"/>
            <w:hideMark/>
          </w:tcPr>
          <w:p w14:paraId="0330DCE3"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3,883.12</w:t>
            </w:r>
          </w:p>
        </w:tc>
        <w:tc>
          <w:tcPr>
            <w:tcW w:w="1000" w:type="pct"/>
            <w:vAlign w:val="center"/>
            <w:hideMark/>
          </w:tcPr>
          <w:p w14:paraId="0496AB36"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10,383.12</w:t>
            </w:r>
          </w:p>
        </w:tc>
        <w:tc>
          <w:tcPr>
            <w:tcW w:w="1000" w:type="pct"/>
            <w:vAlign w:val="center"/>
            <w:hideMark/>
          </w:tcPr>
          <w:p w14:paraId="2332F9AF"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16,883.12</w:t>
            </w:r>
          </w:p>
        </w:tc>
        <w:tc>
          <w:tcPr>
            <w:tcW w:w="1000" w:type="pct"/>
            <w:vAlign w:val="center"/>
            <w:hideMark/>
          </w:tcPr>
          <w:p w14:paraId="75A1687C"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29,883.12</w:t>
            </w:r>
          </w:p>
        </w:tc>
      </w:tr>
      <w:tr w:rsidR="005C7C3F" w:rsidRPr="00CB1BCD" w14:paraId="6C6E7405" w14:textId="77777777" w:rsidTr="007F09A3">
        <w:trPr>
          <w:trHeight w:val="340"/>
        </w:trPr>
        <w:tc>
          <w:tcPr>
            <w:tcW w:w="1000" w:type="pct"/>
            <w:vAlign w:val="center"/>
            <w:hideMark/>
          </w:tcPr>
          <w:p w14:paraId="4463C416"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100</w:t>
            </w:r>
          </w:p>
        </w:tc>
        <w:tc>
          <w:tcPr>
            <w:tcW w:w="1000" w:type="pct"/>
            <w:vAlign w:val="center"/>
            <w:hideMark/>
          </w:tcPr>
          <w:p w14:paraId="4266466D"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3,311.84</w:t>
            </w:r>
          </w:p>
        </w:tc>
        <w:tc>
          <w:tcPr>
            <w:tcW w:w="1000" w:type="pct"/>
            <w:vAlign w:val="center"/>
            <w:hideMark/>
          </w:tcPr>
          <w:p w14:paraId="68A8938B"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11,255.41</w:t>
            </w:r>
          </w:p>
        </w:tc>
        <w:tc>
          <w:tcPr>
            <w:tcW w:w="1000" w:type="pct"/>
            <w:vAlign w:val="center"/>
            <w:hideMark/>
          </w:tcPr>
          <w:p w14:paraId="2631346F"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19,198.98</w:t>
            </w:r>
          </w:p>
        </w:tc>
        <w:tc>
          <w:tcPr>
            <w:tcW w:w="1000" w:type="pct"/>
            <w:vAlign w:val="center"/>
            <w:hideMark/>
          </w:tcPr>
          <w:p w14:paraId="48B5403E"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35,086.12</w:t>
            </w:r>
          </w:p>
        </w:tc>
      </w:tr>
      <w:tr w:rsidR="005C7C3F" w:rsidRPr="00CB1BCD" w14:paraId="370BFCDA" w14:textId="77777777" w:rsidTr="007F09A3">
        <w:trPr>
          <w:trHeight w:val="340"/>
        </w:trPr>
        <w:tc>
          <w:tcPr>
            <w:tcW w:w="1000" w:type="pct"/>
            <w:vAlign w:val="center"/>
            <w:hideMark/>
          </w:tcPr>
          <w:p w14:paraId="6465DA6D"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150</w:t>
            </w:r>
          </w:p>
        </w:tc>
        <w:tc>
          <w:tcPr>
            <w:tcW w:w="1000" w:type="pct"/>
            <w:vAlign w:val="center"/>
            <w:hideMark/>
          </w:tcPr>
          <w:p w14:paraId="3279761E" w14:textId="07B96838"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0</w:t>
            </w:r>
            <w:r w:rsidR="00621673" w:rsidRPr="00CB1BCD">
              <w:rPr>
                <w:rFonts w:eastAsia="Times New Roman" w:cs="Times New Roman"/>
                <w:color w:val="000000"/>
                <w:kern w:val="0"/>
                <w:lang w:val="es-MX" w:eastAsia="es-MX"/>
                <w14:ligatures w14:val="none"/>
              </w:rPr>
              <w:t>.00</w:t>
            </w:r>
          </w:p>
        </w:tc>
        <w:tc>
          <w:tcPr>
            <w:tcW w:w="1000" w:type="pct"/>
            <w:vAlign w:val="center"/>
            <w:hideMark/>
          </w:tcPr>
          <w:p w14:paraId="78B533AA"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10,010.00</w:t>
            </w:r>
          </w:p>
        </w:tc>
        <w:tc>
          <w:tcPr>
            <w:tcW w:w="1000" w:type="pct"/>
            <w:vAlign w:val="center"/>
            <w:hideMark/>
          </w:tcPr>
          <w:p w14:paraId="5A8BE7A2"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20,020.00</w:t>
            </w:r>
          </w:p>
        </w:tc>
        <w:tc>
          <w:tcPr>
            <w:tcW w:w="1000" w:type="pct"/>
            <w:vAlign w:val="center"/>
            <w:hideMark/>
          </w:tcPr>
          <w:p w14:paraId="44421AD3"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40,040.00</w:t>
            </w:r>
          </w:p>
        </w:tc>
      </w:tr>
      <w:tr w:rsidR="005C7C3F" w:rsidRPr="00CB1BCD" w14:paraId="40D53464" w14:textId="77777777" w:rsidTr="007F09A3">
        <w:trPr>
          <w:trHeight w:val="340"/>
        </w:trPr>
        <w:tc>
          <w:tcPr>
            <w:tcW w:w="1000" w:type="pct"/>
            <w:vAlign w:val="center"/>
            <w:hideMark/>
          </w:tcPr>
          <w:p w14:paraId="61EFF5C2"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200</w:t>
            </w:r>
          </w:p>
        </w:tc>
        <w:tc>
          <w:tcPr>
            <w:tcW w:w="1000" w:type="pct"/>
            <w:vAlign w:val="center"/>
            <w:hideMark/>
          </w:tcPr>
          <w:p w14:paraId="4DB40704" w14:textId="18A3D8A8" w:rsidR="005C7C3F" w:rsidRPr="00CB1BCD" w:rsidRDefault="00621673" w:rsidP="001C71C2">
            <w:pPr>
              <w:jc w:val="center"/>
              <w:rPr>
                <w:rFonts w:eastAsia="Times New Roman" w:cs="Times New Roman"/>
                <w:color w:val="000000"/>
                <w:kern w:val="0"/>
                <w:lang w:val="es-MX" w:eastAsia="es-MX"/>
                <w14:ligatures w14:val="none"/>
              </w:rPr>
            </w:pPr>
            <w:r w:rsidRPr="00CB1BCD">
              <w:rPr>
                <w:rFonts w:cs="Times New Roman"/>
              </w:rPr>
              <w:t>−</w:t>
            </w:r>
            <w:r w:rsidR="005C7C3F" w:rsidRPr="00CB1BCD">
              <w:rPr>
                <w:rFonts w:eastAsia="Times New Roman" w:cs="Times New Roman"/>
                <w:color w:val="000000"/>
                <w:kern w:val="0"/>
                <w:lang w:val="es-MX" w:eastAsia="es-MX"/>
                <w14:ligatures w14:val="none"/>
              </w:rPr>
              <w:t>5,649.19</w:t>
            </w:r>
          </w:p>
        </w:tc>
        <w:tc>
          <w:tcPr>
            <w:tcW w:w="1000" w:type="pct"/>
            <w:vAlign w:val="center"/>
            <w:hideMark/>
          </w:tcPr>
          <w:p w14:paraId="0E7E01BE"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5,563.24</w:t>
            </w:r>
          </w:p>
        </w:tc>
        <w:tc>
          <w:tcPr>
            <w:tcW w:w="1000" w:type="pct"/>
            <w:vAlign w:val="center"/>
            <w:hideMark/>
          </w:tcPr>
          <w:p w14:paraId="13158EF9"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16,775.68</w:t>
            </w:r>
          </w:p>
        </w:tc>
        <w:tc>
          <w:tcPr>
            <w:tcW w:w="1000" w:type="pct"/>
            <w:vAlign w:val="center"/>
            <w:hideMark/>
          </w:tcPr>
          <w:p w14:paraId="3D1A9BBB"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39,200.55</w:t>
            </w:r>
          </w:p>
        </w:tc>
      </w:tr>
      <w:tr w:rsidR="005C7C3F" w:rsidRPr="00CB1BCD" w14:paraId="5A97C52A" w14:textId="77777777" w:rsidTr="007F09A3">
        <w:trPr>
          <w:trHeight w:val="340"/>
        </w:trPr>
        <w:tc>
          <w:tcPr>
            <w:tcW w:w="1000" w:type="pct"/>
            <w:vAlign w:val="center"/>
            <w:hideMark/>
          </w:tcPr>
          <w:p w14:paraId="4E47C9E7"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250</w:t>
            </w:r>
          </w:p>
        </w:tc>
        <w:tc>
          <w:tcPr>
            <w:tcW w:w="1000" w:type="pct"/>
            <w:vAlign w:val="center"/>
            <w:hideMark/>
          </w:tcPr>
          <w:p w14:paraId="33197A23" w14:textId="07B9A307" w:rsidR="005C7C3F" w:rsidRPr="00CB1BCD" w:rsidRDefault="00621673" w:rsidP="001C71C2">
            <w:pPr>
              <w:jc w:val="center"/>
              <w:rPr>
                <w:rFonts w:eastAsia="Times New Roman" w:cs="Times New Roman"/>
                <w:color w:val="000000"/>
                <w:kern w:val="0"/>
                <w:lang w:val="es-MX" w:eastAsia="es-MX"/>
                <w14:ligatures w14:val="none"/>
              </w:rPr>
            </w:pPr>
            <w:r w:rsidRPr="00CB1BCD">
              <w:rPr>
                <w:rFonts w:cs="Times New Roman"/>
              </w:rPr>
              <w:t>−</w:t>
            </w:r>
            <w:r w:rsidR="005C7C3F" w:rsidRPr="00CB1BCD">
              <w:rPr>
                <w:rFonts w:eastAsia="Times New Roman" w:cs="Times New Roman"/>
                <w:color w:val="000000"/>
                <w:kern w:val="0"/>
                <w:lang w:val="es-MX" w:eastAsia="es-MX"/>
                <w14:ligatures w14:val="none"/>
              </w:rPr>
              <w:t>13,091.34</w:t>
            </w:r>
          </w:p>
        </w:tc>
        <w:tc>
          <w:tcPr>
            <w:tcW w:w="1000" w:type="pct"/>
            <w:vAlign w:val="center"/>
            <w:hideMark/>
          </w:tcPr>
          <w:p w14:paraId="736F54AC" w14:textId="7A8246F0" w:rsidR="005C7C3F" w:rsidRPr="00CB1BCD" w:rsidRDefault="00621673" w:rsidP="001C71C2">
            <w:pPr>
              <w:jc w:val="center"/>
              <w:rPr>
                <w:rFonts w:eastAsia="Times New Roman" w:cs="Times New Roman"/>
                <w:color w:val="000000"/>
                <w:kern w:val="0"/>
                <w:lang w:val="es-MX" w:eastAsia="es-MX"/>
                <w14:ligatures w14:val="none"/>
              </w:rPr>
            </w:pPr>
            <w:r w:rsidRPr="00CB1BCD">
              <w:rPr>
                <w:rFonts w:cs="Times New Roman"/>
              </w:rPr>
              <w:t>−</w:t>
            </w:r>
            <w:r w:rsidR="005C7C3F" w:rsidRPr="00CB1BCD">
              <w:rPr>
                <w:rFonts w:eastAsia="Times New Roman" w:cs="Times New Roman"/>
                <w:color w:val="000000"/>
                <w:kern w:val="0"/>
                <w:lang w:val="es-MX" w:eastAsia="es-MX"/>
                <w14:ligatures w14:val="none"/>
              </w:rPr>
              <w:t>1,316.98</w:t>
            </w:r>
          </w:p>
        </w:tc>
        <w:tc>
          <w:tcPr>
            <w:tcW w:w="1000" w:type="pct"/>
            <w:vAlign w:val="center"/>
            <w:hideMark/>
          </w:tcPr>
          <w:p w14:paraId="11104106"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10,457.37</w:t>
            </w:r>
          </w:p>
        </w:tc>
        <w:tc>
          <w:tcPr>
            <w:tcW w:w="1000" w:type="pct"/>
            <w:vAlign w:val="center"/>
            <w:hideMark/>
          </w:tcPr>
          <w:p w14:paraId="379B444B"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34,006.08</w:t>
            </w:r>
          </w:p>
        </w:tc>
      </w:tr>
      <w:tr w:rsidR="005C7C3F" w:rsidRPr="00CB1BCD" w14:paraId="56F4DB15" w14:textId="77777777" w:rsidTr="007F09A3">
        <w:trPr>
          <w:trHeight w:val="340"/>
        </w:trPr>
        <w:tc>
          <w:tcPr>
            <w:tcW w:w="1000" w:type="pct"/>
            <w:vAlign w:val="center"/>
            <w:hideMark/>
          </w:tcPr>
          <w:p w14:paraId="0B73C6E2"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286.96</w:t>
            </w:r>
          </w:p>
        </w:tc>
        <w:tc>
          <w:tcPr>
            <w:tcW w:w="1000" w:type="pct"/>
            <w:vAlign w:val="center"/>
            <w:hideMark/>
          </w:tcPr>
          <w:p w14:paraId="73A191C8" w14:textId="6273D9C0" w:rsidR="005C7C3F" w:rsidRPr="00CB1BCD" w:rsidRDefault="00621673" w:rsidP="001C71C2">
            <w:pPr>
              <w:jc w:val="center"/>
              <w:rPr>
                <w:rFonts w:eastAsia="Times New Roman" w:cs="Times New Roman"/>
                <w:color w:val="000000"/>
                <w:kern w:val="0"/>
                <w:lang w:val="es-MX" w:eastAsia="es-MX"/>
                <w14:ligatures w14:val="none"/>
              </w:rPr>
            </w:pPr>
            <w:r w:rsidRPr="00CB1BCD">
              <w:rPr>
                <w:rFonts w:cs="Times New Roman"/>
              </w:rPr>
              <w:t>−</w:t>
            </w:r>
            <w:r w:rsidR="005C7C3F" w:rsidRPr="00CB1BCD">
              <w:rPr>
                <w:rFonts w:eastAsia="Times New Roman" w:cs="Times New Roman"/>
                <w:color w:val="000000"/>
                <w:kern w:val="0"/>
                <w:lang w:val="es-MX" w:eastAsia="es-MX"/>
                <w14:ligatures w14:val="none"/>
              </w:rPr>
              <w:t>19,488.13</w:t>
            </w:r>
          </w:p>
        </w:tc>
        <w:tc>
          <w:tcPr>
            <w:tcW w:w="1000" w:type="pct"/>
            <w:vAlign w:val="center"/>
            <w:hideMark/>
          </w:tcPr>
          <w:p w14:paraId="1862A304" w14:textId="6B8E801A" w:rsidR="005C7C3F" w:rsidRPr="00CB1BCD" w:rsidRDefault="00621673" w:rsidP="001C71C2">
            <w:pPr>
              <w:jc w:val="center"/>
              <w:rPr>
                <w:rFonts w:eastAsia="Times New Roman" w:cs="Times New Roman"/>
                <w:color w:val="000000"/>
                <w:kern w:val="0"/>
                <w:lang w:val="es-MX" w:eastAsia="es-MX"/>
                <w14:ligatures w14:val="none"/>
              </w:rPr>
            </w:pPr>
            <w:r w:rsidRPr="00CB1BCD">
              <w:rPr>
                <w:rFonts w:cs="Times New Roman"/>
              </w:rPr>
              <w:t>−</w:t>
            </w:r>
            <w:r w:rsidR="005C7C3F" w:rsidRPr="00CB1BCD">
              <w:rPr>
                <w:rFonts w:eastAsia="Times New Roman" w:cs="Times New Roman"/>
                <w:color w:val="000000"/>
                <w:kern w:val="0"/>
                <w:lang w:val="es-MX" w:eastAsia="es-MX"/>
                <w14:ligatures w14:val="none"/>
              </w:rPr>
              <w:t>7,606.36</w:t>
            </w:r>
          </w:p>
        </w:tc>
        <w:tc>
          <w:tcPr>
            <w:tcW w:w="1000" w:type="pct"/>
            <w:vAlign w:val="center"/>
            <w:hideMark/>
          </w:tcPr>
          <w:p w14:paraId="1B147F96"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4,275.41</w:t>
            </w:r>
          </w:p>
        </w:tc>
        <w:tc>
          <w:tcPr>
            <w:tcW w:w="1000" w:type="pct"/>
            <w:vAlign w:val="center"/>
            <w:hideMark/>
          </w:tcPr>
          <w:p w14:paraId="7C6F5AA1"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28,038.95</w:t>
            </w:r>
          </w:p>
        </w:tc>
      </w:tr>
      <w:tr w:rsidR="005C7C3F" w:rsidRPr="00CB1BCD" w14:paraId="385ABFBD" w14:textId="77777777" w:rsidTr="007F09A3">
        <w:trPr>
          <w:trHeight w:val="340"/>
        </w:trPr>
        <w:tc>
          <w:tcPr>
            <w:tcW w:w="1000" w:type="pct"/>
            <w:tcBorders>
              <w:bottom w:val="single" w:sz="4" w:space="0" w:color="auto"/>
            </w:tcBorders>
            <w:vAlign w:val="center"/>
            <w:hideMark/>
          </w:tcPr>
          <w:p w14:paraId="0A859391"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300</w:t>
            </w:r>
          </w:p>
        </w:tc>
        <w:tc>
          <w:tcPr>
            <w:tcW w:w="1000" w:type="pct"/>
            <w:tcBorders>
              <w:bottom w:val="single" w:sz="4" w:space="0" w:color="auto"/>
            </w:tcBorders>
            <w:vAlign w:val="center"/>
            <w:hideMark/>
          </w:tcPr>
          <w:p w14:paraId="417ADA79" w14:textId="768278CF" w:rsidR="005C7C3F" w:rsidRPr="00CB1BCD" w:rsidRDefault="00621673" w:rsidP="001C71C2">
            <w:pPr>
              <w:jc w:val="center"/>
              <w:rPr>
                <w:rFonts w:eastAsia="Times New Roman" w:cs="Times New Roman"/>
                <w:color w:val="000000"/>
                <w:kern w:val="0"/>
                <w:lang w:val="es-MX" w:eastAsia="es-MX"/>
                <w14:ligatures w14:val="none"/>
              </w:rPr>
            </w:pPr>
            <w:r w:rsidRPr="00CB1BCD">
              <w:rPr>
                <w:rFonts w:cs="Times New Roman"/>
              </w:rPr>
              <w:t>−</w:t>
            </w:r>
            <w:r w:rsidR="005C7C3F" w:rsidRPr="00CB1BCD">
              <w:rPr>
                <w:rFonts w:eastAsia="Times New Roman" w:cs="Times New Roman"/>
                <w:color w:val="000000"/>
                <w:kern w:val="0"/>
                <w:lang w:val="es-MX" w:eastAsia="es-MX"/>
                <w14:ligatures w14:val="none"/>
              </w:rPr>
              <w:t>21,896.38</w:t>
            </w:r>
          </w:p>
        </w:tc>
        <w:tc>
          <w:tcPr>
            <w:tcW w:w="1000" w:type="pct"/>
            <w:tcBorders>
              <w:bottom w:val="single" w:sz="4" w:space="0" w:color="auto"/>
            </w:tcBorders>
            <w:vAlign w:val="center"/>
            <w:hideMark/>
          </w:tcPr>
          <w:p w14:paraId="211C21A9" w14:textId="40054719" w:rsidR="005C7C3F" w:rsidRPr="00CB1BCD" w:rsidRDefault="00621673" w:rsidP="001C71C2">
            <w:pPr>
              <w:jc w:val="center"/>
              <w:rPr>
                <w:rFonts w:eastAsia="Times New Roman" w:cs="Times New Roman"/>
                <w:color w:val="000000"/>
                <w:kern w:val="0"/>
                <w:lang w:val="es-MX" w:eastAsia="es-MX"/>
                <w14:ligatures w14:val="none"/>
              </w:rPr>
            </w:pPr>
            <w:r w:rsidRPr="00CB1BCD">
              <w:rPr>
                <w:rFonts w:cs="Times New Roman"/>
              </w:rPr>
              <w:t>−</w:t>
            </w:r>
            <w:r w:rsidR="005C7C3F" w:rsidRPr="00CB1BCD">
              <w:rPr>
                <w:rFonts w:eastAsia="Times New Roman" w:cs="Times New Roman"/>
                <w:color w:val="000000"/>
                <w:kern w:val="0"/>
                <w:lang w:val="es-MX" w:eastAsia="es-MX"/>
                <w14:ligatures w14:val="none"/>
              </w:rPr>
              <w:t>10,026.52</w:t>
            </w:r>
          </w:p>
        </w:tc>
        <w:tc>
          <w:tcPr>
            <w:tcW w:w="1000" w:type="pct"/>
            <w:tcBorders>
              <w:bottom w:val="single" w:sz="4" w:space="0" w:color="auto"/>
            </w:tcBorders>
            <w:vAlign w:val="center"/>
            <w:hideMark/>
          </w:tcPr>
          <w:p w14:paraId="4F4411BB"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1,843.34</w:t>
            </w:r>
          </w:p>
        </w:tc>
        <w:tc>
          <w:tcPr>
            <w:tcW w:w="1000" w:type="pct"/>
            <w:tcBorders>
              <w:bottom w:val="single" w:sz="4" w:space="0" w:color="auto"/>
            </w:tcBorders>
            <w:vAlign w:val="center"/>
            <w:hideMark/>
          </w:tcPr>
          <w:p w14:paraId="01691BC3" w14:textId="77777777" w:rsidR="005C7C3F" w:rsidRPr="00CB1BCD" w:rsidRDefault="005C7C3F" w:rsidP="001C71C2">
            <w:pPr>
              <w:jc w:val="center"/>
              <w:rPr>
                <w:rFonts w:eastAsia="Times New Roman" w:cs="Times New Roman"/>
                <w:color w:val="000000"/>
                <w:kern w:val="0"/>
                <w:lang w:val="es-MX" w:eastAsia="es-MX"/>
                <w14:ligatures w14:val="none"/>
              </w:rPr>
            </w:pPr>
            <w:r w:rsidRPr="00CB1BCD">
              <w:rPr>
                <w:rFonts w:eastAsia="Times New Roman" w:cs="Times New Roman"/>
                <w:color w:val="000000"/>
                <w:kern w:val="0"/>
                <w:lang w:val="es-MX" w:eastAsia="es-MX"/>
                <w14:ligatures w14:val="none"/>
              </w:rPr>
              <w:t>25,583.06</w:t>
            </w:r>
          </w:p>
        </w:tc>
      </w:tr>
    </w:tbl>
    <w:p w14:paraId="68260C04" w14:textId="6DDFFA4E" w:rsidR="00B3080C" w:rsidRPr="00CB1BCD" w:rsidRDefault="006B1064" w:rsidP="001C71C2">
      <w:pPr>
        <w:jc w:val="center"/>
        <w:rPr>
          <w:rFonts w:cs="Times New Roman"/>
          <w:lang w:val="es-MX"/>
        </w:rPr>
      </w:pPr>
      <w:r w:rsidRPr="00CB1BCD">
        <w:rPr>
          <w:rFonts w:cs="Times New Roman"/>
          <w:lang w:val="es-MX"/>
        </w:rPr>
        <w:t xml:space="preserve">Fuente: </w:t>
      </w:r>
      <w:r w:rsidR="00622B51" w:rsidRPr="00CB1BCD">
        <w:rPr>
          <w:rFonts w:cs="Times New Roman"/>
          <w:lang w:val="es-MX"/>
        </w:rPr>
        <w:t>e</w:t>
      </w:r>
      <w:r w:rsidRPr="00CB1BCD">
        <w:rPr>
          <w:rFonts w:cs="Times New Roman"/>
          <w:lang w:val="es-MX"/>
        </w:rPr>
        <w:t>laboración propia.</w:t>
      </w:r>
    </w:p>
    <w:p w14:paraId="7AA184CF" w14:textId="6BCB0618" w:rsidR="006F461A" w:rsidRPr="00CB1BCD" w:rsidRDefault="006F461A" w:rsidP="001C71C2">
      <w:pPr>
        <w:jc w:val="center"/>
        <w:rPr>
          <w:rFonts w:cs="Times New Roman"/>
          <w:lang w:val="es-MX"/>
        </w:rPr>
      </w:pPr>
      <w:r w:rsidRPr="00CB1BCD">
        <w:rPr>
          <w:rFonts w:cs="Times New Roman"/>
          <w:lang w:val="es-MX"/>
        </w:rPr>
        <w:t xml:space="preserve">Nota: las columnas de reciclaje se calculan mediante </w:t>
      </w:r>
      <m:oMath>
        <m:r>
          <w:rPr>
            <w:rFonts w:ascii="Cambria Math" w:hAnsi="Cambria Math" w:cs="Times New Roman"/>
            <w:lang w:val="es-MX"/>
          </w:rPr>
          <m:t>∆</m:t>
        </m:r>
        <m:sSub>
          <m:sSubPr>
            <m:ctrlPr>
              <w:rPr>
                <w:rFonts w:ascii="Cambria Math" w:hAnsi="Cambria Math" w:cs="Times New Roman"/>
                <w:i/>
                <w:lang w:val="es-MX"/>
              </w:rPr>
            </m:ctrlPr>
          </m:sSubPr>
          <m:e>
            <m:r>
              <w:rPr>
                <w:rFonts w:ascii="Cambria Math" w:hAnsi="Cambria Math" w:cs="Times New Roman"/>
                <w:lang w:val="es-MX"/>
              </w:rPr>
              <m:t>W</m:t>
            </m:r>
          </m:e>
          <m:sub>
            <m:r>
              <w:rPr>
                <w:rFonts w:ascii="Cambria Math" w:hAnsi="Cambria Math" w:cs="Times New Roman"/>
                <w:lang w:val="es-MX"/>
              </w:rPr>
              <m:t>S</m:t>
            </m:r>
          </m:sub>
        </m:sSub>
        <m:r>
          <w:rPr>
            <w:rFonts w:ascii="Cambria Math" w:hAnsi="Cambria Math" w:cs="Times New Roman"/>
            <w:lang w:val="es-MX"/>
          </w:rPr>
          <m:t>=</m:t>
        </m:r>
        <m:sSub>
          <m:sSubPr>
            <m:ctrlPr>
              <w:rPr>
                <w:rFonts w:ascii="Cambria Math" w:hAnsi="Cambria Math" w:cs="Times New Roman"/>
                <w:i/>
                <w:lang w:val="es-MX"/>
              </w:rPr>
            </m:ctrlPr>
          </m:sSubPr>
          <m:e>
            <m:r>
              <w:rPr>
                <w:rFonts w:ascii="Cambria Math" w:hAnsi="Cambria Math" w:cs="Times New Roman"/>
                <w:lang w:val="es-MX"/>
              </w:rPr>
              <m:t>BA</m:t>
            </m:r>
          </m:e>
          <m:sub>
            <m:r>
              <w:rPr>
                <w:rFonts w:ascii="Cambria Math" w:hAnsi="Cambria Math" w:cs="Times New Roman"/>
                <w:lang w:val="es-MX"/>
              </w:rPr>
              <m:t>S</m:t>
            </m:r>
          </m:sub>
        </m:sSub>
        <m:r>
          <w:rPr>
            <w:rFonts w:ascii="Cambria Math" w:hAnsi="Cambria Math" w:cs="Times New Roman"/>
            <w:lang w:val="es-MX"/>
          </w:rPr>
          <m:t>+</m:t>
        </m:r>
        <m:sSub>
          <m:sSubPr>
            <m:ctrlPr>
              <w:rPr>
                <w:rFonts w:ascii="Cambria Math" w:hAnsi="Cambria Math" w:cs="Times New Roman"/>
                <w:i/>
                <w:lang w:val="es-MX"/>
              </w:rPr>
            </m:ctrlPr>
          </m:sSubPr>
          <m:e>
            <m:r>
              <w:rPr>
                <w:rFonts w:ascii="Cambria Math" w:hAnsi="Cambria Math" w:cs="Times New Roman"/>
                <w:lang w:val="es-MX"/>
              </w:rPr>
              <m:t>ρR</m:t>
            </m:r>
          </m:e>
          <m:sub>
            <m:r>
              <w:rPr>
                <w:rFonts w:ascii="Cambria Math" w:hAnsi="Cambria Math" w:cs="Times New Roman"/>
                <w:lang w:val="es-MX"/>
              </w:rPr>
              <m:t>S</m:t>
            </m:r>
          </m:sub>
        </m:sSub>
        <m:r>
          <w:rPr>
            <w:rFonts w:ascii="Cambria Math" w:hAnsi="Cambria Math" w:cs="Times New Roman"/>
            <w:lang w:val="es-MX"/>
          </w:rPr>
          <m:t>-C</m:t>
        </m:r>
        <m:sSub>
          <m:sSubPr>
            <m:ctrlPr>
              <w:rPr>
                <w:rFonts w:ascii="Cambria Math" w:hAnsi="Cambria Math" w:cs="Times New Roman"/>
                <w:i/>
                <w:lang w:val="es-MX"/>
              </w:rPr>
            </m:ctrlPr>
          </m:sSubPr>
          <m:e>
            <m:r>
              <w:rPr>
                <w:rFonts w:ascii="Cambria Math" w:hAnsi="Cambria Math" w:cs="Times New Roman"/>
                <w:lang w:val="es-MX"/>
              </w:rPr>
              <m:t>A</m:t>
            </m:r>
          </m:e>
          <m:sub>
            <m:r>
              <w:rPr>
                <w:rFonts w:ascii="Cambria Math" w:hAnsi="Cambria Math" w:cs="Times New Roman"/>
                <w:lang w:val="es-MX"/>
              </w:rPr>
              <m:t>S</m:t>
            </m:r>
          </m:sub>
        </m:sSub>
      </m:oMath>
      <w:r w:rsidRPr="00CB1BCD">
        <w:rPr>
          <w:rFonts w:cs="Times New Roman"/>
        </w:rPr>
        <w:t xml:space="preserve">, con </w:t>
      </w:r>
      <m:oMath>
        <m:r>
          <w:rPr>
            <w:rFonts w:ascii="Cambria Math" w:hAnsi="Cambria Math" w:cs="Times New Roman"/>
          </w:rPr>
          <m:t>ρ=0.25</m:t>
        </m:r>
      </m:oMath>
      <w:r w:rsidRPr="00CB1BCD">
        <w:rPr>
          <w:rFonts w:cs="Times New Roman"/>
        </w:rPr>
        <w:t xml:space="preserve">, </w:t>
      </w:r>
      <m:oMath>
        <m:r>
          <w:rPr>
            <w:rFonts w:ascii="Cambria Math" w:hAnsi="Cambria Math" w:cs="Times New Roman"/>
          </w:rPr>
          <m:t>ρ=0.50</m:t>
        </m:r>
      </m:oMath>
      <w:r w:rsidR="00B43CF3" w:rsidRPr="00CB1BCD">
        <w:rPr>
          <w:rFonts w:eastAsiaTheme="minorEastAsia" w:cs="Times New Roman"/>
        </w:rPr>
        <w:t xml:space="preserve"> </w:t>
      </w:r>
      <w:r w:rsidRPr="00CB1BCD">
        <w:rPr>
          <w:rFonts w:cs="Times New Roman"/>
        </w:rPr>
        <w:t xml:space="preserve">y </w:t>
      </w:r>
      <m:oMath>
        <m:r>
          <w:rPr>
            <w:rFonts w:ascii="Cambria Math" w:hAnsi="Cambria Math" w:cs="Times New Roman"/>
          </w:rPr>
          <m:t>ρ=1.00</m:t>
        </m:r>
      </m:oMath>
      <w:r w:rsidRPr="00CB1BCD">
        <w:rPr>
          <w:rFonts w:cs="Times New Roman"/>
        </w:rPr>
        <w:t>, respectivamente.</w:t>
      </w:r>
    </w:p>
    <w:p w14:paraId="396A5BC6" w14:textId="77777777" w:rsidR="00956B0C" w:rsidRDefault="00956B0C" w:rsidP="001C71C2">
      <w:pPr>
        <w:rPr>
          <w:rFonts w:cs="Times New Roman"/>
          <w:lang w:val="es-MX"/>
        </w:rPr>
      </w:pPr>
    </w:p>
    <w:p w14:paraId="0CA27BC6" w14:textId="2E52CC0A" w:rsidR="006B1064" w:rsidRDefault="006B1064" w:rsidP="001C71C2">
      <w:pPr>
        <w:rPr>
          <w:rFonts w:cs="Times New Roman"/>
          <w:lang w:val="es-MX"/>
        </w:rPr>
      </w:pPr>
      <w:r w:rsidRPr="00CB1BCD">
        <w:rPr>
          <w:rFonts w:cs="Times New Roman"/>
          <w:lang w:val="es-MX"/>
        </w:rPr>
        <w:t xml:space="preserve">El reciclaje de ingresos modifica </w:t>
      </w:r>
      <w:r w:rsidR="00EA3573" w:rsidRPr="00CB1BCD">
        <w:rPr>
          <w:rFonts w:cs="Times New Roman"/>
          <w:lang w:val="es-MX"/>
        </w:rPr>
        <w:t>sustancialmente</w:t>
      </w:r>
      <w:r w:rsidRPr="00CB1BCD">
        <w:rPr>
          <w:rFonts w:cs="Times New Roman"/>
          <w:lang w:val="es-MX"/>
        </w:rPr>
        <w:t xml:space="preserve"> la valoración del impuesto</w:t>
      </w:r>
      <w:r w:rsidR="00FB1E80" w:rsidRPr="00CB1BCD">
        <w:rPr>
          <w:rFonts w:cs="Times New Roman"/>
          <w:lang w:val="es-MX"/>
        </w:rPr>
        <w:t xml:space="preserve"> en la simulación</w:t>
      </w:r>
      <w:r w:rsidRPr="00CB1BCD">
        <w:rPr>
          <w:rFonts w:cs="Times New Roman"/>
          <w:lang w:val="es-MX"/>
        </w:rPr>
        <w:t xml:space="preserve">. Sin reciclaje, el aumento del precio al carbono puede generar beneficios ambientales, pero también costos de abatimiento crecientes. En cambio, cuando una proporción de la recaudación se </w:t>
      </w:r>
      <w:r w:rsidR="00FB1E80" w:rsidRPr="00CB1BCD">
        <w:rPr>
          <w:rFonts w:cs="Times New Roman"/>
          <w:lang w:val="es-MX"/>
        </w:rPr>
        <w:t xml:space="preserve">destina a compensaciones, reducción de impuestos distorsionantes o inversión ambiental, </w:t>
      </w:r>
      <w:r w:rsidRPr="00CB1BCD">
        <w:rPr>
          <w:rFonts w:cs="Times New Roman"/>
          <w:lang w:val="es-MX"/>
        </w:rPr>
        <w:t xml:space="preserve">el bienestar parcial mejora y se amplía el rango de precios compatibles con resultados positivos. </w:t>
      </w:r>
      <w:r w:rsidR="00CD10F2" w:rsidRPr="00CB1BCD">
        <w:rPr>
          <w:rFonts w:cs="Times New Roman"/>
          <w:lang w:val="es-MX"/>
        </w:rPr>
        <w:t>Este resultado es c</w:t>
      </w:r>
      <w:r w:rsidRPr="00CB1BCD">
        <w:rPr>
          <w:rFonts w:cs="Times New Roman"/>
          <w:lang w:val="es-MX"/>
        </w:rPr>
        <w:t xml:space="preserve">onsistente con </w:t>
      </w:r>
      <w:r w:rsidRPr="00CB1BCD">
        <w:rPr>
          <w:rFonts w:cs="Times New Roman"/>
          <w:lang w:val="es-MX"/>
        </w:rPr>
        <w:fldChar w:fldCharType="begin" w:fldLock="1"/>
      </w:r>
      <w:r w:rsidR="00E35AC4" w:rsidRPr="00CB1BCD">
        <w:rPr>
          <w:rFonts w:cs="Times New Roman"/>
          <w:lang w:val="es-MX"/>
        </w:rPr>
        <w:instrText>ADDIN CSL_CITATION {"citationItems":[{"id":"ITEM-1","itemData":{"DOI":"10.1016/j.econmod.2022.105911","ISSN":"02649993","abstract":"This paper describes a micro-founded, fully forward-looking dynamic general equilibrium model with energy sectors to analyze the macroeconomic impact of climate mitigation policy in the European Union. The paper presents simulation results for the transitional costs of moving toward a net-zero emissions economy in a budgetary-neutral way through regulation and carbon taxes. Our model allows for substitutability between fossil fuels and clean energy inputs and considers different recycling options for the revenues collected by carbon taxes. We find that the costs of moving toward a net-zero emissions economy can be significantly reduced when carbon taxes are recycled to reduce other distortive taxes or subsidize clean energy. Our scenarios also show that carbon pricing can be less regressive than regulation-based policies.","author":[{"dropping-particle":"","family":"Varga","given":"Janos","non-dropping-particle":"","parse-names":false,"suffix":""},{"dropping-particle":"","family":"Roeger","given":"Werner","non-dropping-particle":"","parse-names":false,"suffix":""},{"dropping-particle":"","family":"in ’t Veld","given":"Jan","non-dropping-particle":"","parse-names":false,"suffix":""}],"container-title":"Economic Modelling","id":"ITEM-1","issue":"April 2021","issued":{"date-parts":[["2022"]]},"page":"105911","publisher":"European Union","title":"E-QUEST: A multisector dynamic general equilibrium model with energy and a model-based assessment to reach the EU climate targets","type":"article-journal","volume":"114"},"uris":["http://www.mendeley.com/documents/?uuid=842c0446-8348-48f8-8961-341beabe6358"]}],"mendeley":{"formattedCitation":"(Varga, Roeger y in ’t Veld, 2022)","manualFormatting":"Varga, Roeger y in ’t Veld (2022)","plainTextFormattedCitation":"(Varga, Roeger y in ’t Veld, 2022)","previouslyFormattedCitation":"(Varga, Roeger y in ’t Veld, 2022)"},"properties":{"noteIndex":0},"schema":"https://github.com/citation-style-language/schema/raw/master/csl-citation.json"}</w:instrText>
      </w:r>
      <w:r w:rsidRPr="00CB1BCD">
        <w:rPr>
          <w:rFonts w:cs="Times New Roman"/>
          <w:lang w:val="es-MX"/>
        </w:rPr>
        <w:fldChar w:fldCharType="separate"/>
      </w:r>
      <w:r w:rsidRPr="00CB1BCD">
        <w:rPr>
          <w:rFonts w:cs="Times New Roman"/>
          <w:noProof/>
          <w:lang w:val="es-MX"/>
        </w:rPr>
        <w:t>Varga</w:t>
      </w:r>
      <w:r w:rsidR="00FB1E80" w:rsidRPr="00CB1BCD">
        <w:rPr>
          <w:rFonts w:cs="Times New Roman"/>
          <w:noProof/>
          <w:lang w:val="es-MX"/>
        </w:rPr>
        <w:t xml:space="preserve"> </w:t>
      </w:r>
      <w:r w:rsidR="00FB1E80" w:rsidRPr="00CB1BCD">
        <w:rPr>
          <w:rFonts w:cs="Times New Roman"/>
          <w:i/>
          <w:iCs/>
          <w:noProof/>
          <w:lang w:val="es-MX"/>
        </w:rPr>
        <w:t>et al.</w:t>
      </w:r>
      <w:r w:rsidRPr="00CB1BCD">
        <w:rPr>
          <w:rFonts w:cs="Times New Roman"/>
          <w:noProof/>
          <w:lang w:val="es-MX"/>
        </w:rPr>
        <w:t xml:space="preserve"> (2022)</w:t>
      </w:r>
      <w:r w:rsidRPr="00CB1BCD">
        <w:rPr>
          <w:rFonts w:cs="Times New Roman"/>
          <w:lang w:val="es-MX"/>
        </w:rPr>
        <w:fldChar w:fldCharType="end"/>
      </w:r>
      <w:r w:rsidRPr="00CB1BCD">
        <w:rPr>
          <w:rFonts w:cs="Times New Roman"/>
          <w:lang w:val="es-MX"/>
        </w:rPr>
        <w:t>, quienes muestran que los costos de las políticas de mitigación pueden reducirse cuando los ingresos de impuestos al carbono se reciclan para disminuir otros impuestos o subsidiar tecnologías limpias.</w:t>
      </w:r>
    </w:p>
    <w:p w14:paraId="45143D61" w14:textId="77777777" w:rsidR="00956B0C" w:rsidRPr="00CB1BCD" w:rsidRDefault="00956B0C" w:rsidP="001C71C2">
      <w:pPr>
        <w:rPr>
          <w:rFonts w:cs="Times New Roman"/>
          <w:lang w:val="es-MX"/>
        </w:rPr>
      </w:pPr>
    </w:p>
    <w:p w14:paraId="5588D3D5" w14:textId="380B0EE2" w:rsidR="005C7C3F" w:rsidRDefault="006B1064" w:rsidP="001C71C2">
      <w:pPr>
        <w:rPr>
          <w:rFonts w:cs="Times New Roman"/>
          <w:lang w:val="es-MX"/>
        </w:rPr>
      </w:pPr>
      <w:r w:rsidRPr="00CB1BCD">
        <w:rPr>
          <w:rFonts w:cs="Times New Roman"/>
          <w:lang w:val="es-MX"/>
        </w:rPr>
        <w:t>En conjunto, los resultados muestran tres hallazgos centrales. Primero, bajo la calibración utilizada, los escenarios de 25, 50 y 75 USD/tCO₂</w:t>
      </w:r>
      <w:r w:rsidR="00890B2C" w:rsidRPr="00CB1BCD">
        <w:rPr>
          <w:rFonts w:cs="Times New Roman"/>
          <w:lang w:val="es-MX"/>
        </w:rPr>
        <w:t xml:space="preserve"> se ubican en el tramo ascendente de la Curva de Laffer ambiental</w:t>
      </w:r>
      <w:r w:rsidRPr="00CB1BCD">
        <w:rPr>
          <w:rFonts w:cs="Times New Roman"/>
          <w:lang w:val="es-MX"/>
        </w:rPr>
        <w:t>. Segundo, la máxima recaudación simulada se alcanza en un precio considerablemente superior al escenario de referencia de 75 USD/tCO₂</w:t>
      </w:r>
      <w:r w:rsidR="00890B2C" w:rsidRPr="00CB1BCD">
        <w:rPr>
          <w:rFonts w:cs="Times New Roman"/>
          <w:lang w:val="es-MX"/>
        </w:rPr>
        <w:t>, sin que ello constituya una estimación empírica del precio fiscalmente óptimo</w:t>
      </w:r>
      <w:r w:rsidRPr="00CB1BCD">
        <w:rPr>
          <w:rFonts w:cs="Times New Roman"/>
          <w:lang w:val="es-MX"/>
        </w:rPr>
        <w:t xml:space="preserve">. Tercero, el bienestar parcial depende de manera crítica del tratamiento de la </w:t>
      </w:r>
      <w:r w:rsidRPr="00CB1BCD">
        <w:rPr>
          <w:rFonts w:cs="Times New Roman"/>
          <w:lang w:val="es-MX"/>
        </w:rPr>
        <w:lastRenderedPageBreak/>
        <w:t>recaudación, pues el reciclaje de ingresos modifica sustancialmente la comparación entre beneficio ambiental y costo económico.</w:t>
      </w:r>
    </w:p>
    <w:p w14:paraId="51BA5C15" w14:textId="77777777" w:rsidR="00956B0C" w:rsidRPr="00CB1BCD" w:rsidRDefault="00956B0C" w:rsidP="001C71C2">
      <w:pPr>
        <w:rPr>
          <w:rFonts w:cs="Times New Roman"/>
          <w:lang w:val="es-MX"/>
        </w:rPr>
      </w:pPr>
    </w:p>
    <w:bookmarkEnd w:id="0"/>
    <w:bookmarkEnd w:id="5"/>
    <w:p w14:paraId="4986D42B" w14:textId="74A1CC63" w:rsidR="000D5A3D" w:rsidRPr="001C71C2" w:rsidRDefault="00690012" w:rsidP="001C71C2">
      <w:pPr>
        <w:pStyle w:val="Ttulo1"/>
        <w:spacing w:line="360" w:lineRule="auto"/>
        <w:jc w:val="center"/>
        <w:rPr>
          <w:rFonts w:cs="Times New Roman"/>
          <w:b/>
          <w:color w:val="auto"/>
          <w:sz w:val="32"/>
          <w:szCs w:val="32"/>
          <w:lang w:val="es-ES_tradnl"/>
        </w:rPr>
      </w:pPr>
      <w:r w:rsidRPr="001C71C2">
        <w:rPr>
          <w:rFonts w:cs="Times New Roman"/>
          <w:b/>
          <w:color w:val="auto"/>
          <w:sz w:val="32"/>
          <w:szCs w:val="32"/>
          <w:lang w:val="es-ES_tradnl"/>
        </w:rPr>
        <w:t>Discusión</w:t>
      </w:r>
    </w:p>
    <w:p w14:paraId="37A155EB" w14:textId="77777777" w:rsidR="00956B0C" w:rsidRPr="00956B0C" w:rsidRDefault="00956B0C" w:rsidP="001C71C2">
      <w:pPr>
        <w:rPr>
          <w:lang w:val="es-ES_tradnl"/>
        </w:rPr>
      </w:pPr>
    </w:p>
    <w:p w14:paraId="1D167C7D" w14:textId="61144E9A" w:rsidR="00E35AC4" w:rsidRDefault="00E35AC4" w:rsidP="001C71C2">
      <w:pPr>
        <w:ind w:firstLine="708"/>
        <w:rPr>
          <w:rFonts w:cs="Times New Roman"/>
          <w:lang w:val="es-MX"/>
        </w:rPr>
      </w:pPr>
      <w:r w:rsidRPr="00CB1BCD">
        <w:rPr>
          <w:rFonts w:cs="Times New Roman"/>
          <w:lang w:val="es-MX"/>
        </w:rPr>
        <w:t>La simulación realizada muestra que</w:t>
      </w:r>
      <w:r w:rsidR="005D114E" w:rsidRPr="00CB1BCD">
        <w:rPr>
          <w:rFonts w:cs="Times New Roman"/>
          <w:lang w:val="es-MX"/>
        </w:rPr>
        <w:t>, bajo la función calibrada,</w:t>
      </w:r>
      <w:r w:rsidRPr="00CB1BCD">
        <w:rPr>
          <w:rFonts w:cs="Times New Roman"/>
          <w:lang w:val="es-MX"/>
        </w:rPr>
        <w:t xml:space="preserve"> el impuesto al carbono presenta un comportamiento fiscal no lineal cuando la base gravable corresponde a emisiones de CO₂. Este resultado se articula con la formulación clásica de </w:t>
      </w:r>
      <w:r w:rsidRPr="00CB1BCD">
        <w:rPr>
          <w:rFonts w:cs="Times New Roman"/>
          <w:lang w:val="es-MX"/>
        </w:rPr>
        <w:fldChar w:fldCharType="begin" w:fldLock="1"/>
      </w:r>
      <w:r w:rsidR="00262549" w:rsidRPr="00CB1BCD">
        <w:rPr>
          <w:rFonts w:cs="Times New Roman"/>
          <w:lang w:val="es-MX"/>
        </w:rPr>
        <w:instrText>ADDIN CSL_CITATION {"citationItems":[{"id":"ITEM-1","itemData":{"abstract":"N/A","author":[{"dropping-particle":"","family":"Laffer","given":"Arthur B","non-dropping-particle":"","parse-names":false,"suffix":""}],"container-title":"Backgrounder","id":"ITEM-1","issue":"1765","issued":{"date-parts":[["2004"]]},"page":"1-16","title":"The Laffer Curve: Past, Present, and Future","type":"article-journal","volume":"4999"},"uris":["http://www.mendeley.com/documents/?uuid=fe2d5bc7-7ce3-4432-97c0-52d6c073a6b7"]}],"mendeley":{"formattedCitation":"(Laffer, 2004)","manualFormatting":"Laffer (2004)","plainTextFormattedCitation":"(Laffer, 2004)","previouslyFormattedCitation":"(Laffer, 2004)"},"properties":{"noteIndex":0},"schema":"https://github.com/citation-style-language/schema/raw/master/csl-citation.json"}</w:instrText>
      </w:r>
      <w:r w:rsidRPr="00CB1BCD">
        <w:rPr>
          <w:rFonts w:cs="Times New Roman"/>
          <w:lang w:val="es-MX"/>
        </w:rPr>
        <w:fldChar w:fldCharType="separate"/>
      </w:r>
      <w:r w:rsidRPr="00CB1BCD">
        <w:rPr>
          <w:rFonts w:cs="Times New Roman"/>
          <w:noProof/>
          <w:lang w:val="es-MX"/>
        </w:rPr>
        <w:t>Laffer (2004)</w:t>
      </w:r>
      <w:r w:rsidRPr="00CB1BCD">
        <w:rPr>
          <w:rFonts w:cs="Times New Roman"/>
          <w:lang w:val="es-MX"/>
        </w:rPr>
        <w:fldChar w:fldCharType="end"/>
      </w:r>
      <w:r w:rsidRPr="00CB1BCD">
        <w:rPr>
          <w:rFonts w:cs="Times New Roman"/>
          <w:lang w:val="es-MX"/>
        </w:rPr>
        <w:t xml:space="preserve">, aunque exige una interpretación distinta a la de los impuestos convencionales. Mientras que en un impuesto sobre ingreso o consumo la contracción de la base suele interpretarse como una pérdida de capacidad recaudatoria, en un impuesto ambiental dicha contracción puede representar precisamente el cumplimiento del objetivo correctivo. Por ello, la Curva de Laffer ambiental no debe entenderse como una regla para maximizar ingresos, sino como un marco para observar la tensión entre recaudación, reducción de emisiones y bienestar </w:t>
      </w:r>
      <w:r w:rsidR="005D114E" w:rsidRPr="00CB1BCD">
        <w:rPr>
          <w:rFonts w:cs="Times New Roman"/>
          <w:lang w:val="es-MX"/>
        </w:rPr>
        <w:t>parcial</w:t>
      </w:r>
      <w:r w:rsidRPr="00CB1BCD">
        <w:rPr>
          <w:rFonts w:cs="Times New Roman"/>
          <w:lang w:val="es-MX"/>
        </w:rPr>
        <w:t>.</w:t>
      </w:r>
    </w:p>
    <w:p w14:paraId="2639138E" w14:textId="77777777" w:rsidR="00956B0C" w:rsidRPr="00CB1BCD" w:rsidRDefault="00956B0C" w:rsidP="001C71C2">
      <w:pPr>
        <w:rPr>
          <w:rFonts w:cs="Times New Roman"/>
          <w:lang w:val="es-MX"/>
        </w:rPr>
      </w:pPr>
    </w:p>
    <w:p w14:paraId="02B278F1" w14:textId="062F0BEC" w:rsidR="00E35AC4" w:rsidRDefault="00E35AC4" w:rsidP="001C71C2">
      <w:pPr>
        <w:rPr>
          <w:rFonts w:cs="Times New Roman"/>
          <w:lang w:val="es-MX"/>
        </w:rPr>
      </w:pPr>
      <w:r w:rsidRPr="00CB1BCD">
        <w:rPr>
          <w:rFonts w:cs="Times New Roman"/>
          <w:lang w:val="es-MX"/>
        </w:rPr>
        <w:t xml:space="preserve">El comportamiento obtenido en la simulación coincide con la idea de </w:t>
      </w:r>
      <w:r w:rsidRPr="00CB1BCD">
        <w:rPr>
          <w:rFonts w:cs="Times New Roman"/>
          <w:i/>
          <w:iCs/>
          <w:lang w:val="es-MX"/>
        </w:rPr>
        <w:t>carbon Laffer curve</w:t>
      </w:r>
      <w:r w:rsidRPr="00CB1BCD">
        <w:rPr>
          <w:rFonts w:cs="Times New Roman"/>
          <w:lang w:val="es-MX"/>
        </w:rPr>
        <w:t xml:space="preserve"> planteada por Budolfson </w:t>
      </w:r>
      <w:r w:rsidRPr="00CB1BCD">
        <w:rPr>
          <w:rFonts w:cs="Times New Roman"/>
          <w:i/>
          <w:iCs/>
          <w:lang w:val="es-MX"/>
        </w:rPr>
        <w:t>et al</w:t>
      </w:r>
      <w:r w:rsidRPr="00CB1BCD">
        <w:rPr>
          <w:rFonts w:cs="Times New Roman"/>
          <w:lang w:val="es-MX"/>
        </w:rPr>
        <w:t>. (2021). En su análisis, los ingresos derivados del precio al carbono aumentan en etapas iniciales, pero disminuyen conforme avanza la descarbonización y se reduce la base sujeta al impuesto. El resultado estimado para México reproduce esa lógica general</w:t>
      </w:r>
      <w:r w:rsidR="005D114E" w:rsidRPr="00CB1BCD">
        <w:rPr>
          <w:rFonts w:cs="Times New Roman"/>
          <w:lang w:val="es-MX"/>
        </w:rPr>
        <w:t xml:space="preserve"> en una simulación calibrada</w:t>
      </w:r>
      <w:r w:rsidRPr="00CB1BCD">
        <w:rPr>
          <w:rFonts w:cs="Times New Roman"/>
          <w:lang w:val="es-MX"/>
        </w:rPr>
        <w:t xml:space="preserve">: el incremento del precio al carbono eleva inicialmente la recaudación, pero la reducción progresiva de emisiones impone un límite estructural al potencial fiscal del instrumento. Esta coincidencia no implica que ambos ejercicios sean equivalentes, porque Budolfson </w:t>
      </w:r>
      <w:r w:rsidRPr="00CB1BCD">
        <w:rPr>
          <w:rFonts w:cs="Times New Roman"/>
          <w:i/>
          <w:iCs/>
          <w:lang w:val="es-MX"/>
        </w:rPr>
        <w:t>et al</w:t>
      </w:r>
      <w:r w:rsidRPr="00CB1BCD">
        <w:rPr>
          <w:rFonts w:cs="Times New Roman"/>
          <w:lang w:val="es-MX"/>
        </w:rPr>
        <w:t xml:space="preserve">. desarrollan un modelo global con énfasis distributivo, mientras que este estudio utiliza una simulación </w:t>
      </w:r>
      <w:r w:rsidR="005D114E" w:rsidRPr="00CB1BCD">
        <w:rPr>
          <w:rFonts w:cs="Times New Roman"/>
          <w:lang w:val="es-MX"/>
        </w:rPr>
        <w:t>estática de forma reducida</w:t>
      </w:r>
      <w:r w:rsidRPr="00CB1BCD">
        <w:rPr>
          <w:rFonts w:cs="Times New Roman"/>
          <w:lang w:val="es-MX"/>
        </w:rPr>
        <w:t xml:space="preserve"> calibrada para México.</w:t>
      </w:r>
    </w:p>
    <w:p w14:paraId="12F4C516" w14:textId="77777777" w:rsidR="00956B0C" w:rsidRPr="00CB1BCD" w:rsidRDefault="00956B0C" w:rsidP="001C71C2">
      <w:pPr>
        <w:rPr>
          <w:rFonts w:cs="Times New Roman"/>
          <w:lang w:val="es-MX"/>
        </w:rPr>
      </w:pPr>
    </w:p>
    <w:p w14:paraId="13D66B81" w14:textId="77777777" w:rsidR="00E35AC4" w:rsidRDefault="00E35AC4" w:rsidP="001C71C2">
      <w:pPr>
        <w:rPr>
          <w:rFonts w:cs="Times New Roman"/>
          <w:lang w:val="es-MX"/>
        </w:rPr>
      </w:pPr>
      <w:r w:rsidRPr="00CB1BCD">
        <w:rPr>
          <w:rFonts w:cs="Times New Roman"/>
          <w:lang w:val="es-MX"/>
        </w:rPr>
        <w:t xml:space="preserve">El escenario de referencia empleado en el análisis procede del estudio de Black </w:t>
      </w:r>
      <w:r w:rsidRPr="00CB1BCD">
        <w:rPr>
          <w:rFonts w:cs="Times New Roman"/>
          <w:i/>
          <w:iCs/>
          <w:lang w:val="es-MX"/>
        </w:rPr>
        <w:t>et al</w:t>
      </w:r>
      <w:r w:rsidRPr="00CB1BCD">
        <w:rPr>
          <w:rFonts w:cs="Times New Roman"/>
          <w:lang w:val="es-MX"/>
        </w:rPr>
        <w:t xml:space="preserve">. (2021), quienes estiman para México los efectos de distintos precios al carbono mediante el </w:t>
      </w:r>
      <w:r w:rsidRPr="00CB1BCD">
        <w:rPr>
          <w:rFonts w:cs="Times New Roman"/>
          <w:i/>
          <w:iCs/>
          <w:lang w:val="es-MX"/>
        </w:rPr>
        <w:t>Carbon Pricing Assessment Tool</w:t>
      </w:r>
      <w:r w:rsidRPr="00CB1BCD">
        <w:rPr>
          <w:rFonts w:cs="Times New Roman"/>
          <w:lang w:val="es-MX"/>
        </w:rPr>
        <w:t xml:space="preserve"> del Fondo Monetario Internacional. La presente investigación no replica la estructura completa de ese modelo, sino que toma sus parámetros centrales para construir una representación más simple de la relación entre precio, emisiones y recaudación. Esta diferencia metodológica es importante: el resultado no debe leerse como una proyección alternativa al modelo del FMI, sino como una aplicación formal de sus parámetros a una Curva de Laffer ambiental.</w:t>
      </w:r>
    </w:p>
    <w:p w14:paraId="640A5A72" w14:textId="77777777" w:rsidR="00956B0C" w:rsidRPr="00CB1BCD" w:rsidRDefault="00956B0C" w:rsidP="001C71C2">
      <w:pPr>
        <w:rPr>
          <w:rFonts w:cs="Times New Roman"/>
          <w:lang w:val="es-MX"/>
        </w:rPr>
      </w:pPr>
    </w:p>
    <w:p w14:paraId="23E6DEF4" w14:textId="510BD3F0" w:rsidR="00E35AC4" w:rsidRDefault="00E35AC4" w:rsidP="001C71C2">
      <w:pPr>
        <w:rPr>
          <w:rFonts w:cs="Times New Roman"/>
          <w:lang w:val="es-MX"/>
        </w:rPr>
      </w:pPr>
      <w:r w:rsidRPr="00CB1BCD">
        <w:rPr>
          <w:rFonts w:cs="Times New Roman"/>
          <w:lang w:val="es-MX"/>
        </w:rPr>
        <w:t xml:space="preserve">La comparación con Metcalf (2009) permite precisar el alcance normativo de los resultados. El autor sostiene que el diseño de un impuesto al carbono debe vincularse al daño marginal social de las emisiones y no solo a la capacidad de generar ingresos. En la simulación, el precio que maximiza la recaudación no coincide con el nivel en el que el bienestar parcial sin reciclaje resulta más favorable. Esta divergencia </w:t>
      </w:r>
      <w:r w:rsidR="007E585F" w:rsidRPr="00CB1BCD">
        <w:rPr>
          <w:rFonts w:cs="Times New Roman"/>
          <w:lang w:val="es-MX"/>
        </w:rPr>
        <w:t>permite distinguir</w:t>
      </w:r>
      <w:r w:rsidRPr="00CB1BCD">
        <w:rPr>
          <w:rFonts w:cs="Times New Roman"/>
          <w:lang w:val="es-MX"/>
        </w:rPr>
        <w:t xml:space="preserve"> que el criterio recaudatorio y el criterio pigouviano pueden conducir a interpretaciones distintas, por lo que el máximo de la Curva de Laffer ambiental no debe confundirse con el precio </w:t>
      </w:r>
      <w:r w:rsidR="001A7DE0" w:rsidRPr="00CB1BCD">
        <w:rPr>
          <w:rFonts w:cs="Times New Roman"/>
          <w:lang w:val="es-MX"/>
        </w:rPr>
        <w:t>ambientalmente deseable</w:t>
      </w:r>
      <w:r w:rsidRPr="00CB1BCD">
        <w:rPr>
          <w:rFonts w:cs="Times New Roman"/>
          <w:lang w:val="es-MX"/>
        </w:rPr>
        <w:t xml:space="preserve"> del carbono.</w:t>
      </w:r>
    </w:p>
    <w:p w14:paraId="41F0F383" w14:textId="77777777" w:rsidR="00956B0C" w:rsidRPr="00CB1BCD" w:rsidRDefault="00956B0C" w:rsidP="001C71C2">
      <w:pPr>
        <w:rPr>
          <w:rFonts w:cs="Times New Roman"/>
          <w:lang w:val="es-MX"/>
        </w:rPr>
      </w:pPr>
    </w:p>
    <w:p w14:paraId="6B03EBC3" w14:textId="04C4C007" w:rsidR="00E35AC4" w:rsidRDefault="00E35AC4" w:rsidP="001C71C2">
      <w:pPr>
        <w:rPr>
          <w:rFonts w:cs="Times New Roman"/>
          <w:lang w:val="es-MX"/>
        </w:rPr>
      </w:pPr>
      <w:r w:rsidRPr="00CB1BCD">
        <w:rPr>
          <w:rFonts w:cs="Times New Roman"/>
          <w:lang w:val="es-MX"/>
        </w:rPr>
        <w:t xml:space="preserve">La advertencia de </w:t>
      </w:r>
      <w:r w:rsidR="00262549" w:rsidRPr="00CB1BCD">
        <w:rPr>
          <w:rFonts w:cs="Times New Roman"/>
          <w:lang w:val="es-MX"/>
        </w:rPr>
        <w:fldChar w:fldCharType="begin" w:fldLock="1"/>
      </w:r>
      <w:r w:rsidR="00262549" w:rsidRPr="00CB1BCD">
        <w:rPr>
          <w:rFonts w:cs="Times New Roman"/>
          <w:lang w:val="es-MX"/>
        </w:rPr>
        <w:instrText>ADDIN CSL_CITATION {"citationItems":[{"id":"ITEM-1","itemData":{"DOI":"10.1016/j.eap.2022.01.008","ISSN":"03135926","abstract":"The standard approach to evaluate the Laffer curve of personal income taxation focuses on the impact on income tax revenue alone. However, this is an incomplete depiction of reality, as income tax rate changes also affect revenue collection from other taxes -i.e. consumption taxes and social security contributions. In addition, to the extent that administration and compliance costs correlate with tax rates, the Laffer curve should also consider this correlation. This paper develops a complete microeconomic model for the Laffer curve of personal income tax, taking into account all these omissions. Results confirm that these omissions generate the false illusion of a Laffer curve with a higher-than-real revenue maximum and a narrower prohibitive zone than exists in reality.","author":[{"dropping-particle":"","family":"Sanz-Sanz","given":"José Félix","non-dropping-particle":"","parse-names":false,"suffix":""}],"container-title":"Economic Analysis and Policy","id":"ITEM-1","issued":{"date-parts":[["2022"]]},"page":"795-811","publisher":"Elsevier B.V.","title":"A full-fledged analytical model for the Laffer curve in personal income taxation","type":"article-journal","volume":"73"},"uris":["http://www.mendeley.com/documents/?uuid=4c5530a3-23aa-443c-9fd0-6031927224bf"]}],"mendeley":{"formattedCitation":"(Sanz-Sanz, 2022)","manualFormatting":"Sanz-Sanz (2022)","plainTextFormattedCitation":"(Sanz-Sanz, 2022)","previouslyFormattedCitation":"(Sanz-Sanz, 2022)"},"properties":{"noteIndex":0},"schema":"https://github.com/citation-style-language/schema/raw/master/csl-citation.json"}</w:instrText>
      </w:r>
      <w:r w:rsidR="00262549" w:rsidRPr="00CB1BCD">
        <w:rPr>
          <w:rFonts w:cs="Times New Roman"/>
          <w:lang w:val="es-MX"/>
        </w:rPr>
        <w:fldChar w:fldCharType="separate"/>
      </w:r>
      <w:r w:rsidR="00262549" w:rsidRPr="00CB1BCD">
        <w:rPr>
          <w:rFonts w:cs="Times New Roman"/>
          <w:noProof/>
          <w:lang w:val="es-MX"/>
        </w:rPr>
        <w:t>Sanz-Sanz (2022)</w:t>
      </w:r>
      <w:r w:rsidR="00262549" w:rsidRPr="00CB1BCD">
        <w:rPr>
          <w:rFonts w:cs="Times New Roman"/>
          <w:lang w:val="es-MX"/>
        </w:rPr>
        <w:fldChar w:fldCharType="end"/>
      </w:r>
      <w:r w:rsidRPr="00CB1BCD">
        <w:rPr>
          <w:rFonts w:cs="Times New Roman"/>
          <w:lang w:val="es-MX"/>
        </w:rPr>
        <w:t xml:space="preserve"> sobre las Curvas de Laffer resulta pertinente para matizar los hallazgos. Su trabajo muestra que los modelos que omiten costos administrativos, costos de cumplimiento y efectos sobre otras fuentes tributarias pueden sobreestimar el punto de máxima recaudación. Aunque su análisis se refiere al impuesto sobre la renta personal, el principio metodológico se mantiene para el caso ambiental: una Curva de Laffer construida con una función agregada de emisiones identifica un máximo interno del modelo, pero no incorpora todas las fricciones fiscales, institucionales y sectoriales que afectarían la recaudación efectiva.</w:t>
      </w:r>
    </w:p>
    <w:p w14:paraId="3DCA92C1" w14:textId="77777777" w:rsidR="00956B0C" w:rsidRPr="00CB1BCD" w:rsidRDefault="00956B0C" w:rsidP="001C71C2">
      <w:pPr>
        <w:rPr>
          <w:rFonts w:cs="Times New Roman"/>
          <w:lang w:val="es-MX"/>
        </w:rPr>
      </w:pPr>
    </w:p>
    <w:p w14:paraId="10788FBA" w14:textId="024D7AC9" w:rsidR="00E35AC4" w:rsidRDefault="00E35AC4" w:rsidP="001C71C2">
      <w:pPr>
        <w:rPr>
          <w:rFonts w:cs="Times New Roman"/>
          <w:lang w:val="es-MX"/>
        </w:rPr>
      </w:pPr>
      <w:r w:rsidRPr="00CB1BCD">
        <w:rPr>
          <w:rFonts w:cs="Times New Roman"/>
          <w:lang w:val="es-MX"/>
        </w:rPr>
        <w:t xml:space="preserve">El resultado sobre reciclaje de ingresos se encuentra en la misma dirección que Varga </w:t>
      </w:r>
      <w:r w:rsidR="005D114E" w:rsidRPr="00CB1BCD">
        <w:rPr>
          <w:rFonts w:cs="Times New Roman"/>
          <w:i/>
          <w:iCs/>
          <w:lang w:val="es-MX"/>
        </w:rPr>
        <w:t>et al.</w:t>
      </w:r>
      <w:r w:rsidRPr="00CB1BCD">
        <w:rPr>
          <w:rFonts w:cs="Times New Roman"/>
          <w:lang w:val="es-MX"/>
        </w:rPr>
        <w:t xml:space="preserve"> (2022), quienes muestran que los costos de la transición climática pueden reducirse cuando los ingresos de impuestos al carbono se emplean para disminuir impuestos distorsionantes o subsidiar energía limpia. En el presente </w:t>
      </w:r>
      <w:r w:rsidR="001B1029" w:rsidRPr="00CB1BCD">
        <w:rPr>
          <w:rFonts w:cs="Times New Roman"/>
          <w:lang w:val="es-MX"/>
        </w:rPr>
        <w:t>estudio</w:t>
      </w:r>
      <w:r w:rsidRPr="00CB1BCD">
        <w:rPr>
          <w:rFonts w:cs="Times New Roman"/>
          <w:lang w:val="es-MX"/>
        </w:rPr>
        <w:t xml:space="preserve">, el bienestar parcial </w:t>
      </w:r>
      <w:r w:rsidR="001B1029" w:rsidRPr="00CB1BCD">
        <w:rPr>
          <w:rFonts w:cs="Times New Roman"/>
          <w:lang w:val="es-MX"/>
        </w:rPr>
        <w:t>aumenta</w:t>
      </w:r>
      <w:r w:rsidRPr="00CB1BCD">
        <w:rPr>
          <w:rFonts w:cs="Times New Roman"/>
          <w:lang w:val="es-MX"/>
        </w:rPr>
        <w:t xml:space="preserve"> conforme </w:t>
      </w:r>
      <w:r w:rsidR="001B1029" w:rsidRPr="00CB1BCD">
        <w:rPr>
          <w:rFonts w:cs="Times New Roman"/>
          <w:lang w:val="es-MX"/>
        </w:rPr>
        <w:t>crece</w:t>
      </w:r>
      <w:r w:rsidRPr="00CB1BCD">
        <w:rPr>
          <w:rFonts w:cs="Times New Roman"/>
          <w:lang w:val="es-MX"/>
        </w:rPr>
        <w:t xml:space="preserve"> la proporción de recaudación reciclada</w:t>
      </w:r>
      <w:r w:rsidR="001B1029" w:rsidRPr="00CB1BCD">
        <w:rPr>
          <w:rFonts w:cs="Times New Roman"/>
          <w:lang w:val="es-MX"/>
        </w:rPr>
        <w:t>, la cual deriva de la forma en que el parámetro de reciclaje se incorpora al indicador</w:t>
      </w:r>
      <w:r w:rsidRPr="00CB1BCD">
        <w:rPr>
          <w:rFonts w:cs="Times New Roman"/>
          <w:lang w:val="es-MX"/>
        </w:rPr>
        <w:t>. Esto sugiere que el uso de los ingresos no es un elemento accesorio del diseño fiscal ambiental, sino un componente que puede modificar la evaluación social del impuesto.</w:t>
      </w:r>
    </w:p>
    <w:p w14:paraId="2DC00650" w14:textId="77777777" w:rsidR="00956B0C" w:rsidRPr="00CB1BCD" w:rsidRDefault="00956B0C" w:rsidP="001C71C2">
      <w:pPr>
        <w:rPr>
          <w:rFonts w:cs="Times New Roman"/>
          <w:lang w:val="es-MX"/>
        </w:rPr>
      </w:pPr>
    </w:p>
    <w:p w14:paraId="7C2E9E05" w14:textId="77777777" w:rsidR="00E35AC4" w:rsidRDefault="00E35AC4" w:rsidP="001C71C2">
      <w:pPr>
        <w:rPr>
          <w:rFonts w:cs="Times New Roman"/>
          <w:lang w:val="es-MX"/>
        </w:rPr>
      </w:pPr>
      <w:r w:rsidRPr="00CB1BCD">
        <w:rPr>
          <w:rFonts w:cs="Times New Roman"/>
          <w:lang w:val="es-MX"/>
        </w:rPr>
        <w:t xml:space="preserve">Budolfson </w:t>
      </w:r>
      <w:r w:rsidRPr="00CB1BCD">
        <w:rPr>
          <w:rFonts w:cs="Times New Roman"/>
          <w:i/>
          <w:iCs/>
          <w:lang w:val="es-MX"/>
        </w:rPr>
        <w:t>et al</w:t>
      </w:r>
      <w:r w:rsidRPr="00CB1BCD">
        <w:rPr>
          <w:rFonts w:cs="Times New Roman"/>
          <w:lang w:val="es-MX"/>
        </w:rPr>
        <w:t>. (2021) también destacan que el reciclaje de ingresos puede alterar los efectos de pobreza, desigualdad y bienestar asociados al precio al carbono. La simulación realizada no incorpora hogares, regiones ni deciles de ingreso, por lo que no permite estimar impactos distributivos específicos para México. Sin embargo, el cambio observado en el bienestar parcial cuando se introduce reciclaje es congruente con su argumento general: el resultado social de un impuesto al carbono depende no solo del precio y de la reducción de emisiones, sino también del destino de la recaudación.</w:t>
      </w:r>
    </w:p>
    <w:p w14:paraId="4A7442E3" w14:textId="77777777" w:rsidR="00956B0C" w:rsidRPr="00CB1BCD" w:rsidRDefault="00956B0C" w:rsidP="001C71C2">
      <w:pPr>
        <w:rPr>
          <w:rFonts w:cs="Times New Roman"/>
          <w:lang w:val="es-MX"/>
        </w:rPr>
      </w:pPr>
    </w:p>
    <w:p w14:paraId="237122A6" w14:textId="553EDE7B" w:rsidR="00E35AC4" w:rsidRDefault="00262549" w:rsidP="001C71C2">
      <w:pPr>
        <w:rPr>
          <w:rFonts w:cs="Times New Roman"/>
          <w:lang w:val="es-MX"/>
        </w:rPr>
      </w:pPr>
      <w:r w:rsidRPr="00CB1BCD">
        <w:rPr>
          <w:rFonts w:cs="Times New Roman"/>
          <w:lang w:val="es-MX"/>
        </w:rPr>
        <w:fldChar w:fldCharType="begin" w:fldLock="1"/>
      </w:r>
      <w:r w:rsidRPr="00CB1BCD">
        <w:rPr>
          <w:rFonts w:cs="Times New Roman"/>
          <w:lang w:val="es-MX"/>
        </w:rPr>
        <w:instrText>ADDIN CSL_CITATION {"citationItems":[{"id":"ITEM-1","itemData":{"DOI":"10.1016/J.JEEM.2017.09.008","ISSN":"0095-0696","abstract":"This paper examines pollution tax differentiation across industries in light of social equity concerns using theoretical and numerical general equilibrium analyses in an optimal tax framework. We characterize the drivers for non-uniform optimal taxes stemming from the interaction of household heterogeneity with social preferences. Quantitatively assessing the case of price-based CO2 emissions control in the U.S. economy, we find that uniform emissions pricing is approximately optimal when social concerns are defined over inequity induced by the environmental tax. The deviation from uniform emissions pricing, however, becomes non-negligible when pollution tax rebates deviate much from optimal transfer schemes or when social concerns are defined over both policy-induced impacts and inequity unrelated to environmental policy. Our results are robust to a number of model extensions including the stringency of the environmental target, downstream vs. upstream taxation, pre-existing distortionary taxes, and parametric uncertainty in firms’ and households’ equilibrium tax responses.","author":[{"dropping-particle":"","family":"Abrell","given":"Jan","non-dropping-particle":"","parse-names":false,"suffix":""},{"dropping-particle":"","family":"Rausch","given":"Sebastian","non-dropping-particle":"","parse-names":false,"suffix":""},{"dropping-particle":"","family":"Schwarz","given":"Giacomo A.","non-dropping-particle":"","parse-names":false,"suffix":""}],"container-title":"Journal of Environmental Economics and Management","id":"ITEM-1","issued":{"date-parts":[["2018","11","1"]]},"page":"783-814","publisher":"Academic Press","title":"How robust is the uniform emissions pricing rule to social equity concerns?","type":"article-journal","volume":"92"},"uris":["http://www.mendeley.com/documents/?uuid=5cb95d85-dc42-3f72-bbb6-81ba4006c8b9"]}],"mendeley":{"formattedCitation":"(Abrell, Rausch y Schwarz, 2018)","manualFormatting":"Abrell, Rausch y Schwarz (2018)","plainTextFormattedCitation":"(Abrell, Rausch y Schwarz, 2018)","previouslyFormattedCitation":"(Abrell, Rausch y Schwarz, 2018)"},"properties":{"noteIndex":0},"schema":"https://github.com/citation-style-language/schema/raw/master/csl-citation.json"}</w:instrText>
      </w:r>
      <w:r w:rsidRPr="00CB1BCD">
        <w:rPr>
          <w:rFonts w:cs="Times New Roman"/>
          <w:lang w:val="es-MX"/>
        </w:rPr>
        <w:fldChar w:fldCharType="separate"/>
      </w:r>
      <w:r w:rsidRPr="00CB1BCD">
        <w:rPr>
          <w:rFonts w:cs="Times New Roman"/>
          <w:noProof/>
          <w:lang w:val="es-MX"/>
        </w:rPr>
        <w:t>Abrell</w:t>
      </w:r>
      <w:r w:rsidR="001B1029" w:rsidRPr="00CB1BCD">
        <w:rPr>
          <w:rFonts w:cs="Times New Roman"/>
          <w:noProof/>
          <w:lang w:val="es-MX"/>
        </w:rPr>
        <w:t xml:space="preserve"> </w:t>
      </w:r>
      <w:r w:rsidR="001B1029" w:rsidRPr="00CB1BCD">
        <w:rPr>
          <w:rFonts w:cs="Times New Roman"/>
          <w:i/>
          <w:iCs/>
          <w:noProof/>
          <w:lang w:val="es-MX"/>
        </w:rPr>
        <w:t>et al.</w:t>
      </w:r>
      <w:r w:rsidRPr="00CB1BCD">
        <w:rPr>
          <w:rFonts w:cs="Times New Roman"/>
          <w:noProof/>
          <w:lang w:val="es-MX"/>
        </w:rPr>
        <w:t xml:space="preserve"> (2018)</w:t>
      </w:r>
      <w:r w:rsidRPr="00CB1BCD">
        <w:rPr>
          <w:rFonts w:cs="Times New Roman"/>
          <w:lang w:val="es-MX"/>
        </w:rPr>
        <w:fldChar w:fldCharType="end"/>
      </w:r>
      <w:r w:rsidR="00E35AC4" w:rsidRPr="00CB1BCD">
        <w:rPr>
          <w:rFonts w:cs="Times New Roman"/>
          <w:lang w:val="es-MX"/>
        </w:rPr>
        <w:t xml:space="preserve"> muestran que una regla uniforme de precio a las emisiones puede aproximarse a una solución eficiente bajo determinadas condiciones, aunque los efectos distributivos dependen de la heterogeneidad de los hogares y de los esquemas de compensación. Esta observación permite </w:t>
      </w:r>
      <w:r w:rsidR="001B1029" w:rsidRPr="00CB1BCD">
        <w:rPr>
          <w:rFonts w:cs="Times New Roman"/>
          <w:lang w:val="es-MX"/>
        </w:rPr>
        <w:t>delimitar</w:t>
      </w:r>
      <w:r w:rsidR="00E35AC4" w:rsidRPr="00CB1BCD">
        <w:rPr>
          <w:rFonts w:cs="Times New Roman"/>
          <w:lang w:val="es-MX"/>
        </w:rPr>
        <w:t xml:space="preserve"> </w:t>
      </w:r>
      <w:r w:rsidR="001B1029" w:rsidRPr="00CB1BCD">
        <w:rPr>
          <w:rFonts w:cs="Times New Roman"/>
          <w:lang w:val="es-MX"/>
        </w:rPr>
        <w:t>el alcance d</w:t>
      </w:r>
      <w:r w:rsidR="00E35AC4" w:rsidRPr="00CB1BCD">
        <w:rPr>
          <w:rFonts w:cs="Times New Roman"/>
          <w:lang w:val="es-MX"/>
        </w:rPr>
        <w:t>el modelo utilizado. El precio uniforme por tonelada de CO₂ es adecuado para una simulación agregada, pero sus implicaciones distributivas reales dependerían de patrones de consumo energético, ingreso, región, tipo de vivienda, movilidad y acceso a sustitutos tecnológicos.</w:t>
      </w:r>
    </w:p>
    <w:p w14:paraId="77FDFB0A" w14:textId="77777777" w:rsidR="00956B0C" w:rsidRPr="00CB1BCD" w:rsidRDefault="00956B0C" w:rsidP="001C71C2">
      <w:pPr>
        <w:rPr>
          <w:rFonts w:cs="Times New Roman"/>
          <w:lang w:val="es-MX"/>
        </w:rPr>
      </w:pPr>
    </w:p>
    <w:p w14:paraId="464B054F" w14:textId="3076B65D" w:rsidR="00E35AC4" w:rsidRDefault="00262549" w:rsidP="001C71C2">
      <w:pPr>
        <w:rPr>
          <w:rFonts w:cs="Times New Roman"/>
          <w:lang w:val="es-MX"/>
        </w:rPr>
      </w:pPr>
      <w:r w:rsidRPr="00CB1BCD">
        <w:rPr>
          <w:rFonts w:cs="Times New Roman"/>
          <w:lang w:val="es-MX"/>
        </w:rPr>
        <w:fldChar w:fldCharType="begin" w:fldLock="1"/>
      </w:r>
      <w:r w:rsidRPr="00CB1BCD">
        <w:rPr>
          <w:rFonts w:cs="Times New Roman"/>
          <w:lang w:val="es-MX"/>
        </w:rPr>
        <w:instrText>ADDIN CSL_CITATION {"citationItems":[{"id":"ITEM-1","itemData":{"DOI":"10.1016/J.EUROECOREV.2019.03.006","ISSN":"0014-2921","abstract":"This paper investigates the distributional and efficiency consequences of an environmental tax reform that distributes the revenue from a green tax according to varying labour tax rates. We build a general equilibrium model with heterogeneous workers, imperfect labour markets (search and match), and pollution consumption externalities. Preferences are non-homothetic (Stone–Geary utility) to take into account the potential regressivity of green taxes (the polluting good is assumed to be a necessary good). If the reform appears regressive, the gains from the double dividend can achieve Pareto improvement, using a redistributive non-linear income tax if the redistribution is not too great initially. Increasing progressivity influences the unemployment rate and can moderate the trade-off between equity and efficiency. We finally provide numerical illustrations for France and conduct sensitivity analysis.","author":[{"dropping-particle":"","family":"Aubert","given":"Diane","non-dropping-particle":"","parse-names":false,"suffix":""},{"dropping-particle":"","family":"Chiroleu-Assouline","given":"Mireille","non-dropping-particle":"","parse-names":false,"suffix":""}],"container-title":"European Economic Review","id":"ITEM-1","issued":{"date-parts":[["2019","7","1"]]},"page":"60-82","publisher":"North-Holland","title":"Environmental tax reform and income distribution with imperfect heterogeneous labour markets","type":"article-journal","volume":"116"},"uris":["http://www.mendeley.com/documents/?uuid=5df62306-c56c-32b4-b03c-17ca0c380752"]}],"mendeley":{"formattedCitation":"(Aubert y Chiroleu-Assouline, 2019)","manualFormatting":"Aubert y Chiroleu-Assouline (2019)","plainTextFormattedCitation":"(Aubert y Chiroleu-Assouline, 2019)","previouslyFormattedCitation":"(Aubert y Chiroleu-Assouline, 2019)"},"properties":{"noteIndex":0},"schema":"https://github.com/citation-style-language/schema/raw/master/csl-citation.json"}</w:instrText>
      </w:r>
      <w:r w:rsidRPr="00CB1BCD">
        <w:rPr>
          <w:rFonts w:cs="Times New Roman"/>
          <w:lang w:val="es-MX"/>
        </w:rPr>
        <w:fldChar w:fldCharType="separate"/>
      </w:r>
      <w:r w:rsidRPr="00CB1BCD">
        <w:rPr>
          <w:rFonts w:cs="Times New Roman"/>
          <w:noProof/>
          <w:lang w:val="es-MX"/>
        </w:rPr>
        <w:t>Aubert y Chiroleu-Assouline (2019)</w:t>
      </w:r>
      <w:r w:rsidRPr="00CB1BCD">
        <w:rPr>
          <w:rFonts w:cs="Times New Roman"/>
          <w:lang w:val="es-MX"/>
        </w:rPr>
        <w:fldChar w:fldCharType="end"/>
      </w:r>
      <w:r w:rsidR="00E35AC4" w:rsidRPr="00CB1BCD">
        <w:rPr>
          <w:rFonts w:cs="Times New Roman"/>
          <w:lang w:val="es-MX"/>
        </w:rPr>
        <w:t xml:space="preserve"> advierten que las reformas fiscales ambientales pueden tener efectos regresivos cuando los bienes gravados </w:t>
      </w:r>
      <w:r w:rsidR="001B1029" w:rsidRPr="00CB1BCD">
        <w:rPr>
          <w:rFonts w:cs="Times New Roman"/>
          <w:lang w:val="es-MX"/>
        </w:rPr>
        <w:t>son necesarios o presentan demanda relativamente inelástica</w:t>
      </w:r>
      <w:r w:rsidR="00E35AC4" w:rsidRPr="00CB1BCD">
        <w:rPr>
          <w:rFonts w:cs="Times New Roman"/>
          <w:lang w:val="es-MX"/>
        </w:rPr>
        <w:t>. Este punto resulta especialmente relevante para México, porque el consumo de combustibles, transporte y energía puede representar una proporción mayor del gasto en hogares de menores ingresos. Así, aunque el modelo muestra mejoras de bienestar bajo escenarios de reciclaje, no puede concluir que el impuesto sea progresivo sin analizar la estructura de gasto de los hogares y el mecanismo específico de devolución o compensación.</w:t>
      </w:r>
    </w:p>
    <w:p w14:paraId="1323E394" w14:textId="77777777" w:rsidR="00956B0C" w:rsidRPr="00CB1BCD" w:rsidRDefault="00956B0C" w:rsidP="001C71C2">
      <w:pPr>
        <w:rPr>
          <w:rFonts w:cs="Times New Roman"/>
          <w:lang w:val="es-MX"/>
        </w:rPr>
      </w:pPr>
    </w:p>
    <w:p w14:paraId="47177AB8" w14:textId="36FB5451" w:rsidR="00E35AC4" w:rsidRDefault="00262549" w:rsidP="001C71C2">
      <w:pPr>
        <w:rPr>
          <w:rFonts w:cs="Times New Roman"/>
          <w:lang w:val="es-MX"/>
        </w:rPr>
      </w:pPr>
      <w:r w:rsidRPr="00CB1BCD">
        <w:rPr>
          <w:rFonts w:cs="Times New Roman"/>
          <w:lang w:val="es-MX"/>
        </w:rPr>
        <w:fldChar w:fldCharType="begin" w:fldLock="1"/>
      </w:r>
      <w:r w:rsidR="00B22FC8" w:rsidRPr="00CB1BCD">
        <w:rPr>
          <w:rFonts w:cs="Times New Roman"/>
          <w:lang w:val="es-MX"/>
        </w:rPr>
        <w:instrText>ADDIN CSL_CITATION {"citationItems":[{"id":"ITEM-1","itemData":{"DOI":"10.1016/j.eneco.2016.02.021","ISSN":"01409883","abstract":"We present a new method that enables users of the federal government's flagship energy policy model (NEMS) to dynamically estimate the direct energy expenditure impacts of climate policy across U.S. household incomes and census regions. Our approach combines NEMS output with detailed household expenditure data from the Consumer Expenditure Survey, improving on static methods that assess policy impacts by assuming household energy demand remains unchanged under emissions pricing scenarios. To illustrate our method, we evaluate a recent carbon fee-and-dividend proposal introduced in the U.S. Senate, the Climate Protection Act of 2013 (S. 332). Our analysis indicates this bill, if enacted, would have cut CO2 emissions from energy by 17% below 2005 levels by 2020 at a gross cost of less than 0.5% of GDP, while offering rebates sufficient to offset increased direct energy expenditures for typical households making less than $120,000 per year and average households in all regions of the United States.","author":[{"dropping-particle":"","family":"Cullenward","given":"Danny","non-dropping-particle":"","parse-names":false,"suffix":""},{"dropping-particle":"","family":"Wilkerson","given":"Jordan T.","non-dropping-particle":"","parse-names":false,"suffix":""},{"dropping-particle":"","family":"Wara","given":"Michael","non-dropping-particle":"","parse-names":false,"suffix":""},{"dropping-particle":"","family":"Weyant","given":"John P.","non-dropping-particle":"","parse-names":false,"suffix":""}],"container-title":"Energy Economics","id":"ITEM-1","issued":{"date-parts":[["2016"]]},"page":"303-318","title":"Dynamically estimating the distributional impacts of U.S. climate policy with NEMS: A case study of the Climate Protection Act of 2013","type":"article-journal","volume":"55"},"uris":["http://www.mendeley.com/documents/?uuid=e0363877-1037-491f-babd-e6fc57633667"]}],"mendeley":{"formattedCitation":"(Cullenward &lt;i&gt;et al.&lt;/i&gt;, 2016)","manualFormatting":"Cullenward et al. (2016)","plainTextFormattedCitation":"(Cullenward et al., 2016)","previouslyFormattedCitation":"(Cullenward &lt;i&gt;et al.&lt;/i&gt;, 2016)"},"properties":{"noteIndex":0},"schema":"https://github.com/citation-style-language/schema/raw/master/csl-citation.json"}</w:instrText>
      </w:r>
      <w:r w:rsidRPr="00CB1BCD">
        <w:rPr>
          <w:rFonts w:cs="Times New Roman"/>
          <w:lang w:val="es-MX"/>
        </w:rPr>
        <w:fldChar w:fldCharType="separate"/>
      </w:r>
      <w:r w:rsidRPr="00CB1BCD">
        <w:rPr>
          <w:rFonts w:cs="Times New Roman"/>
          <w:noProof/>
          <w:lang w:val="es-MX"/>
        </w:rPr>
        <w:t xml:space="preserve">Cullenward </w:t>
      </w:r>
      <w:r w:rsidRPr="00CB1BCD">
        <w:rPr>
          <w:rFonts w:cs="Times New Roman"/>
          <w:i/>
          <w:noProof/>
          <w:lang w:val="es-MX"/>
        </w:rPr>
        <w:t>et al.</w:t>
      </w:r>
      <w:r w:rsidRPr="00CB1BCD">
        <w:rPr>
          <w:rFonts w:cs="Times New Roman"/>
          <w:noProof/>
          <w:lang w:val="es-MX"/>
        </w:rPr>
        <w:t xml:space="preserve"> (2016)</w:t>
      </w:r>
      <w:r w:rsidRPr="00CB1BCD">
        <w:rPr>
          <w:rFonts w:cs="Times New Roman"/>
          <w:lang w:val="es-MX"/>
        </w:rPr>
        <w:fldChar w:fldCharType="end"/>
      </w:r>
      <w:r w:rsidR="00E35AC4" w:rsidRPr="00CB1BCD">
        <w:rPr>
          <w:rFonts w:cs="Times New Roman"/>
          <w:lang w:val="es-MX"/>
        </w:rPr>
        <w:t xml:space="preserve"> encuentran que los efectos distributivos de las políticas climáticas dependen de manera significativa del diseño de devolución de ingresos. Su evidencia refuerza la interpretación de que el reciclaje modifica la valoración del impuesto, pero también señala un límite del presente estudio. La simulación trabaja con bienestar parcial agregado, no con incidencia por grupos sociales. Por tanto, los resultados permiten identificar la relevancia del reciclaje, pero no sustituyen una evaluación distributiva con microdatos de ingreso y gasto.</w:t>
      </w:r>
    </w:p>
    <w:p w14:paraId="0A13CFDC" w14:textId="77777777" w:rsidR="00956B0C" w:rsidRPr="00CB1BCD" w:rsidRDefault="00956B0C" w:rsidP="001C71C2">
      <w:pPr>
        <w:rPr>
          <w:rFonts w:cs="Times New Roman"/>
          <w:lang w:val="es-MX"/>
        </w:rPr>
      </w:pPr>
    </w:p>
    <w:p w14:paraId="6ACBC892" w14:textId="6BB03CEA" w:rsidR="00E35AC4" w:rsidRDefault="00B22FC8" w:rsidP="001C71C2">
      <w:pPr>
        <w:rPr>
          <w:rFonts w:cs="Times New Roman"/>
          <w:lang w:val="es-MX"/>
        </w:rPr>
      </w:pPr>
      <w:r w:rsidRPr="00CB1BCD">
        <w:rPr>
          <w:rFonts w:cs="Times New Roman"/>
          <w:lang w:val="es-MX"/>
        </w:rPr>
        <w:fldChar w:fldCharType="begin" w:fldLock="1"/>
      </w:r>
      <w:r w:rsidR="00C15B1F" w:rsidRPr="00CB1BCD">
        <w:rPr>
          <w:rFonts w:cs="Times New Roman"/>
          <w:lang w:val="es-MX"/>
        </w:rPr>
        <w:instrText>ADDIN CSL_CITATION {"citationItems":[{"id":"ITEM-1","itemData":{"DOI":"10.1016/J.JEEM.2018.03.011","ISSN":"0095-0696","abstract":"We demonstrate how the presence of an informal sector can sharply lower the cost of environmental and energy tax policy through two mechanisms. First, energy taxes indirectly tax the informal sector because even informal firms must buy formal sector sources of energy such as electricity. Second, a revenue-neutral shift in the tax base toward energy can decrease the tax burden on goods which are substituted for by the informal sector. These mechanisms can lead to welfare-enhancing substitution from informal labor into the formal sector. We consider the magnitude of these effects in a stylized model of the U.S. tax system. Even though the U.S. informal sector is relatively small, we find that distortionary costs of energy taxes are reduced by more than half. In developing countries, where the informal sector is typically much larger, the effect we identify here become even more relevant: we find negative gross costs in many cases. Finally, we address two potentially important countervailing effects: the use of informal fuels in developing countries and the potential for informal production to substitute for energy-intensive goods. We show how these different types of informality compete, and find that welfare enhancing effects typically dominate.","author":[{"dropping-particle":"","family":"Bento","given":"Antonio M.","non-dropping-particle":"","parse-names":false,"suffix":""},{"dropping-particle":"","family":"Jacobsen","given":"Mark R.","non-dropping-particle":"","parse-names":false,"suffix":""},{"dropping-particle":"","family":"Liu","given":"Antung A.","non-dropping-particle":"","parse-names":false,"suffix":""}],"container-title":"Journal of Environmental Economics and Management","id":"ITEM-1","issued":{"date-parts":[["2018","7","1"]]},"page":"61-77","publisher":"Academic Press","title":"Environmental policy in the presence of an informal sector","type":"article-journal","volume":"90"},"uris":["http://www.mendeley.com/documents/?uuid=63fce20f-98aa-3613-a5d0-3ae99480c52b"]}],"mendeley":{"formattedCitation":"(Bento, Jacobsen y Liu, 2018)","manualFormatting":"Bento, Jacobsen y Liu (2018)","plainTextFormattedCitation":"(Bento, Jacobsen y Liu, 2018)","previouslyFormattedCitation":"(Bento, Jacobsen y Liu, 2018)"},"properties":{"noteIndex":0},"schema":"https://github.com/citation-style-language/schema/raw/master/csl-citation.json"}</w:instrText>
      </w:r>
      <w:r w:rsidRPr="00CB1BCD">
        <w:rPr>
          <w:rFonts w:cs="Times New Roman"/>
          <w:lang w:val="es-MX"/>
        </w:rPr>
        <w:fldChar w:fldCharType="separate"/>
      </w:r>
      <w:r w:rsidRPr="00CB1BCD">
        <w:rPr>
          <w:rFonts w:cs="Times New Roman"/>
          <w:noProof/>
          <w:lang w:val="es-MX"/>
        </w:rPr>
        <w:t xml:space="preserve">Bento </w:t>
      </w:r>
      <w:r w:rsidR="001B1029" w:rsidRPr="00CB1BCD">
        <w:rPr>
          <w:rFonts w:cs="Times New Roman"/>
          <w:i/>
          <w:iCs/>
          <w:noProof/>
          <w:lang w:val="es-MX"/>
        </w:rPr>
        <w:t>et al.</w:t>
      </w:r>
      <w:r w:rsidRPr="00CB1BCD">
        <w:rPr>
          <w:rFonts w:cs="Times New Roman"/>
          <w:noProof/>
          <w:lang w:val="es-MX"/>
        </w:rPr>
        <w:t xml:space="preserve"> (2018)</w:t>
      </w:r>
      <w:r w:rsidRPr="00CB1BCD">
        <w:rPr>
          <w:rFonts w:cs="Times New Roman"/>
          <w:lang w:val="es-MX"/>
        </w:rPr>
        <w:fldChar w:fldCharType="end"/>
      </w:r>
      <w:r w:rsidR="00E35AC4" w:rsidRPr="00CB1BCD">
        <w:rPr>
          <w:rFonts w:cs="Times New Roman"/>
          <w:lang w:val="es-MX"/>
        </w:rPr>
        <w:t xml:space="preserve"> introducen una consideración adicional para economías donde la informalidad puede alterar la incidencia de los impuestos ambientales. Su análisis muestra que los impuestos a la energía interactúan con actividades informales y pueden modificar los costos de eficiencia. En el caso mexicano, la informalidad podría afectar la transmisión del precio al carbono, la sustitución entre bienes, la absorción del impuesto por empresas y la respuesta efectiva de consumidores.</w:t>
      </w:r>
    </w:p>
    <w:p w14:paraId="3B536DCA" w14:textId="77777777" w:rsidR="00956B0C" w:rsidRPr="00CB1BCD" w:rsidRDefault="00956B0C" w:rsidP="001C71C2">
      <w:pPr>
        <w:rPr>
          <w:rFonts w:cs="Times New Roman"/>
          <w:lang w:val="es-MX"/>
        </w:rPr>
      </w:pPr>
    </w:p>
    <w:p w14:paraId="26DA802D" w14:textId="4251CE95" w:rsidR="00E35AC4" w:rsidRDefault="00C15B1F" w:rsidP="001C71C2">
      <w:pPr>
        <w:rPr>
          <w:rFonts w:cs="Times New Roman"/>
          <w:lang w:val="es-MX"/>
        </w:rPr>
      </w:pPr>
      <w:r w:rsidRPr="00CB1BCD">
        <w:rPr>
          <w:rFonts w:cs="Times New Roman"/>
          <w:lang w:val="es-MX"/>
        </w:rPr>
        <w:fldChar w:fldCharType="begin" w:fldLock="1"/>
      </w:r>
      <w:r w:rsidR="00297AB2" w:rsidRPr="00CB1BCD">
        <w:rPr>
          <w:rFonts w:cs="Times New Roman"/>
          <w:lang w:val="es-MX"/>
        </w:rPr>
        <w:instrText>ADDIN CSL_CITATION {"citationItems":[{"id":"ITEM-1","itemData":{"DOI":"10.1016/J.JMONECO.2018.08.004","ISSN":"0304-3932","abstract":"Studies identifying oil shocks using structural vector autoregressions (VARs)reach different conclusions on the relative importance of supply and demand factors in explaining oil market fluctuations. This disagreement is due to different assumptions on the oil supply and demand elasticities that determine the identification of the oil shocks. We provide new estimates of oil-market elasticities by combining a narrative analysis of episodes of large drops in oil production with country-level instrumental variable regressions. When the estimated elasticities are embedded into a structural VAR, supply and demand shocks play an equally important role in explaining oil prices and oil quantities.","author":[{"dropping-particle":"","family":"Caldara","given":"Dario","non-dropping-particle":"","parse-names":false,"suffix":""},{"dropping-particle":"","family":"Cavallo","given":"Michele","non-dropping-particle":"","parse-names":false,"suffix":""},{"dropping-particle":"","family":"Iacoviello","given":"Matteo","non-dropping-particle":"","parse-names":false,"suffix":""}],"container-title":"Journal of Monetary Economics","id":"ITEM-1","issued":{"date-parts":[["2019","5","1"]]},"page":"1-20","publisher":"North-Holland","title":"Oil price elasticities and oil price fluctuations","type":"article-journal","volume":"103"},"uris":["http://www.mendeley.com/documents/?uuid=aa3e12db-228c-3ad9-ba44-95682371d4a5"]}],"mendeley":{"formattedCitation":"(Caldara, Cavallo y Iacoviello, 2019)","manualFormatting":"Caldara, Cavallo e Iacoviello (2019)","plainTextFormattedCitation":"(Caldara, Cavallo y Iacoviello, 2019)","previouslyFormattedCitation":"(Caldara, Cavallo y Iacoviello, 2019)"},"properties":{"noteIndex":0},"schema":"https://github.com/citation-style-language/schema/raw/master/csl-citation.json"}</w:instrText>
      </w:r>
      <w:r w:rsidRPr="00CB1BCD">
        <w:rPr>
          <w:rFonts w:cs="Times New Roman"/>
          <w:lang w:val="es-MX"/>
        </w:rPr>
        <w:fldChar w:fldCharType="separate"/>
      </w:r>
      <w:r w:rsidRPr="00CB1BCD">
        <w:rPr>
          <w:rFonts w:cs="Times New Roman"/>
          <w:noProof/>
          <w:lang w:val="es-MX"/>
        </w:rPr>
        <w:t xml:space="preserve">Caldara </w:t>
      </w:r>
      <w:r w:rsidR="001B1029" w:rsidRPr="00CB1BCD">
        <w:rPr>
          <w:rFonts w:cs="Times New Roman"/>
          <w:i/>
          <w:iCs/>
          <w:noProof/>
          <w:lang w:val="es-MX"/>
        </w:rPr>
        <w:t>et al.</w:t>
      </w:r>
      <w:r w:rsidRPr="00CB1BCD">
        <w:rPr>
          <w:rFonts w:cs="Times New Roman"/>
          <w:noProof/>
          <w:lang w:val="es-MX"/>
        </w:rPr>
        <w:t xml:space="preserve"> (2019)</w:t>
      </w:r>
      <w:r w:rsidRPr="00CB1BCD">
        <w:rPr>
          <w:rFonts w:cs="Times New Roman"/>
          <w:lang w:val="es-MX"/>
        </w:rPr>
        <w:fldChar w:fldCharType="end"/>
      </w:r>
      <w:r w:rsidR="00E35AC4" w:rsidRPr="00CB1BCD">
        <w:rPr>
          <w:rFonts w:cs="Times New Roman"/>
          <w:lang w:val="es-MX"/>
        </w:rPr>
        <w:t xml:space="preserve"> muestran que las elasticidades de oferta y demanda en mercados petroleros son determinantes para explicar cambios en precios y cantidades. Esta referencia ayuda a ubicar una de las </w:t>
      </w:r>
      <w:r w:rsidR="00E35AC4" w:rsidRPr="00CB1BCD">
        <w:rPr>
          <w:rFonts w:cs="Times New Roman"/>
          <w:lang w:val="es-MX"/>
        </w:rPr>
        <w:lastRenderedPageBreak/>
        <w:t xml:space="preserve">principales restricciones del modelo: la respuesta de emisiones se calibra con un punto de referencia externo y no con una elasticidad estimada directamente para México. </w:t>
      </w:r>
      <w:r w:rsidR="00FE6E58" w:rsidRPr="00CB1BCD">
        <w:rPr>
          <w:rFonts w:cs="Times New Roman"/>
          <w:lang w:val="es-MX"/>
        </w:rPr>
        <w:t xml:space="preserve">Además, el parámetro de respuesta utilizado en la simulación opera como una semielasticidad respecto al precio, no como una elasticidad constante. </w:t>
      </w:r>
      <w:r w:rsidR="00E35AC4" w:rsidRPr="00CB1BCD">
        <w:rPr>
          <w:rFonts w:cs="Times New Roman"/>
          <w:lang w:val="es-MX"/>
        </w:rPr>
        <w:t>Si la demanda de combustibles fuera más inelástica que la implícita en la calibración, la recaudación sería mayor y la reducción de emisiones menor; si fuera más elástica, ocurriría lo contrario.</w:t>
      </w:r>
    </w:p>
    <w:p w14:paraId="11ED99AF" w14:textId="77777777" w:rsidR="00956B0C" w:rsidRPr="00CB1BCD" w:rsidRDefault="00956B0C" w:rsidP="001C71C2">
      <w:pPr>
        <w:rPr>
          <w:rFonts w:cs="Times New Roman"/>
          <w:lang w:val="es-MX"/>
        </w:rPr>
      </w:pPr>
    </w:p>
    <w:p w14:paraId="277410D8" w14:textId="64486B12" w:rsidR="00E35AC4" w:rsidRDefault="00297AB2" w:rsidP="001C71C2">
      <w:pPr>
        <w:rPr>
          <w:rFonts w:cs="Times New Roman"/>
          <w:lang w:val="es-MX"/>
        </w:rPr>
      </w:pPr>
      <w:r w:rsidRPr="00CB1BCD">
        <w:rPr>
          <w:rFonts w:cs="Times New Roman"/>
          <w:lang w:val="es-MX"/>
        </w:rPr>
        <w:fldChar w:fldCharType="begin" w:fldLock="1"/>
      </w:r>
      <w:r w:rsidRPr="00CB1BCD">
        <w:rPr>
          <w:rFonts w:cs="Times New Roman"/>
          <w:lang w:val="es-MX"/>
        </w:rPr>
        <w:instrText>ADDIN CSL_CITATION {"citationItems":[{"id":"ITEM-1","itemData":{"DOI":"10.1016/j.econmod.2024.106867","ISSN":"02649993","abstract":"Determining how economic growth affects tax revenues is crucial for fiscal sustainability, economic stabilization, and policy design. The current literature on tax buoyancy presents contrasting estimates, highlighting the need for a systematic discussion of the trade-offs associated with different estimators. This paper provides new empirical evidence by reviewing a range of panel data estimators in a large sample of 172 countries from 1990 to 2019. We find evidence of lower estimates for tax responses to economic activity in the short term relative to previous literature, suggesting a limited automatic stabilization power of tax systems. The heterogeneity in our results within and across income groups underscores the importance of choosing the appropriate estimator. Our results remain broadly unchanged when we introduce new control variables to disentangle discretionary from automatic tax revenue variations, indicating that economic cycles do not significantly influence the timing of tax policies.","author":[{"dropping-particle":"","family":"Cornevin","given":"Antoine","non-dropping-particle":"","parse-names":false,"suffix":""},{"dropping-particle":"","family":"Corrales","given":"Juan Sebastian","non-dropping-particle":"","parse-names":false,"suffix":""},{"dropping-particle":"","family":"Mojica","given":"Juan Pablo Angel","non-dropping-particle":"","parse-names":false,"suffix":""}],"container-title":"Economic Modelling","id":"ITEM-1","issue":"September 2023","issued":{"date-parts":[["2024"]]},"page":"106867","publisher":"Elsevier B.V.","title":"Do tax revenues track economic growth? Comparing panel data estimators","type":"article-journal","volume":"140"},"uris":["http://www.mendeley.com/documents/?uuid=7a86cecb-8236-4fa0-8852-0ed12cb16c3e"]}],"mendeley":{"formattedCitation":"(Cornevin, Corrales y Mojica, 2024)","manualFormatting":"Cornevin, Corrales y Mojica (2024)","plainTextFormattedCitation":"(Cornevin, Corrales y Mojica, 2024)","previouslyFormattedCitation":"(Cornevin, Corrales y Mojica, 2024)"},"properties":{"noteIndex":0},"schema":"https://github.com/citation-style-language/schema/raw/master/csl-citation.json"}</w:instrText>
      </w:r>
      <w:r w:rsidRPr="00CB1BCD">
        <w:rPr>
          <w:rFonts w:cs="Times New Roman"/>
          <w:lang w:val="es-MX"/>
        </w:rPr>
        <w:fldChar w:fldCharType="separate"/>
      </w:r>
      <w:r w:rsidRPr="00CB1BCD">
        <w:rPr>
          <w:rFonts w:cs="Times New Roman"/>
          <w:noProof/>
          <w:lang w:val="es-MX"/>
        </w:rPr>
        <w:t xml:space="preserve">Cornevin </w:t>
      </w:r>
      <w:r w:rsidR="00F046E5" w:rsidRPr="00CB1BCD">
        <w:rPr>
          <w:rFonts w:cs="Times New Roman"/>
          <w:i/>
          <w:iCs/>
          <w:noProof/>
          <w:lang w:val="es-MX"/>
        </w:rPr>
        <w:t>et al.</w:t>
      </w:r>
      <w:r w:rsidRPr="00CB1BCD">
        <w:rPr>
          <w:rFonts w:cs="Times New Roman"/>
          <w:noProof/>
          <w:lang w:val="es-MX"/>
        </w:rPr>
        <w:t xml:space="preserve"> (2024)</w:t>
      </w:r>
      <w:r w:rsidRPr="00CB1BCD">
        <w:rPr>
          <w:rFonts w:cs="Times New Roman"/>
          <w:lang w:val="es-MX"/>
        </w:rPr>
        <w:fldChar w:fldCharType="end"/>
      </w:r>
      <w:r w:rsidR="00E35AC4" w:rsidRPr="00CB1BCD">
        <w:rPr>
          <w:rFonts w:cs="Times New Roman"/>
          <w:lang w:val="es-MX"/>
        </w:rPr>
        <w:t xml:space="preserve"> señalan que la relación entre ingresos tributarios y actividad económica cambia según el método de estimación, el horizonte temporal y las características institucionales de cada país. Aunque su estudio se centra en flotabilidad y elasticidad tributaria, su aportación </w:t>
      </w:r>
      <w:r w:rsidR="00F046E5" w:rsidRPr="00CB1BCD">
        <w:rPr>
          <w:rFonts w:cs="Times New Roman"/>
          <w:lang w:val="es-MX"/>
        </w:rPr>
        <w:t>permite matizar la lectura fiscal</w:t>
      </w:r>
      <w:r w:rsidR="00E35AC4" w:rsidRPr="00CB1BCD">
        <w:rPr>
          <w:rFonts w:cs="Times New Roman"/>
          <w:lang w:val="es-MX"/>
        </w:rPr>
        <w:t xml:space="preserve"> </w:t>
      </w:r>
      <w:r w:rsidR="0010290C" w:rsidRPr="00CB1BCD">
        <w:rPr>
          <w:rFonts w:cs="Times New Roman"/>
          <w:lang w:val="es-MX"/>
        </w:rPr>
        <w:t>d</w:t>
      </w:r>
      <w:r w:rsidR="00E35AC4" w:rsidRPr="00CB1BCD">
        <w:rPr>
          <w:rFonts w:cs="Times New Roman"/>
          <w:lang w:val="es-MX"/>
        </w:rPr>
        <w:t>el presente ejercicio. La simulación calcula recaudación como producto entre precio y emisiones remanentes, sin incorporar retroalimentaciones macroeconómicas. Esto favorece la claridad analítica, pero reduce la capacidad del modelo para capturar efectos de equilibrio general, cambios en actividad económica o respuestas sectoriales diferenciadas.</w:t>
      </w:r>
    </w:p>
    <w:p w14:paraId="32AD0142" w14:textId="77777777" w:rsidR="00956B0C" w:rsidRPr="00CB1BCD" w:rsidRDefault="00956B0C" w:rsidP="001C71C2">
      <w:pPr>
        <w:rPr>
          <w:rFonts w:cs="Times New Roman"/>
          <w:lang w:val="es-MX"/>
        </w:rPr>
      </w:pPr>
    </w:p>
    <w:p w14:paraId="2AB707C9" w14:textId="217AFB16" w:rsidR="00E35AC4" w:rsidRDefault="00297AB2" w:rsidP="001C71C2">
      <w:pPr>
        <w:rPr>
          <w:rFonts w:cs="Times New Roman"/>
          <w:lang w:val="es-MX"/>
        </w:rPr>
      </w:pPr>
      <w:r w:rsidRPr="00CB1BCD">
        <w:rPr>
          <w:rFonts w:cs="Times New Roman"/>
          <w:lang w:val="es-MX"/>
        </w:rPr>
        <w:fldChar w:fldCharType="begin" w:fldLock="1"/>
      </w:r>
      <w:r w:rsidR="00967382" w:rsidRPr="00CB1BCD">
        <w:rPr>
          <w:rFonts w:cs="Times New Roman"/>
          <w:lang w:val="es-MX"/>
        </w:rPr>
        <w:instrText>ADDIN CSL_CITATION {"citationItems":[{"id":"ITEM-1","itemData":{"DOI":"10.1016/j.jpubeco.2021.104589","ISSN":"00472727","abstract":"This paper provides a comprehensive framework to study welfare effects of multiple policy interventions and other external changes under imperfect competition with emphasis on specific and ad valorem taxation as a leading case. Specifically, in relation to tax pass-through, we provide “sufficient statistics” formulas for two welfare measures under a fairly general class of demand, production cost, and market competition. The measures are (i) marginal value of public funds (i.e., the marginal change in consumer and producer surplus relative to an increase in the net cost to the government), and (ii) incidence (i.e., the ratio of a marginal change in consumer surplus to a marginal change in producer surplus). We begin with the case of symmetric firms facing both unit and ad valorem taxes to derive a simple and empirically relevant set of formulas. Then, we provide a substantial generalization of these results to encompass firm heterogeneity by using the idea of tax revenue that is specified as a general function parameterized by a vector of policy instruments including government and non-government interventions and costs other than taxation.","author":[{"dropping-particle":"","family":"Adachi","given":"Takanori","non-dropping-particle":"","parse-names":false,"suffix":""},{"dropping-particle":"","family":"Fabinger","given":"Michal","non-dropping-particle":"","parse-names":false,"suffix":""}],"container-title":"Journal of Public Economics","id":"ITEM-1","issued":{"date-parts":[["2022"]]},"page":"104589","publisher":"The Author(s)","title":"Pass-through, welfare, and incidence under imperfect competition","type":"article-journal","volume":"211"},"uris":["http://www.mendeley.com/documents/?uuid=d1984106-8085-47cf-afae-fd2f78fa24af"]}],"mendeley":{"formattedCitation":"(Adachi y Fabinger, 2022)","manualFormatting":"Adachi y Fabinger (2022)","plainTextFormattedCitation":"(Adachi y Fabinger, 2022)","previouslyFormattedCitation":"(Adachi y Fabinger, 2022)"},"properties":{"noteIndex":0},"schema":"https://github.com/citation-style-language/schema/raw/master/csl-citation.json"}</w:instrText>
      </w:r>
      <w:r w:rsidRPr="00CB1BCD">
        <w:rPr>
          <w:rFonts w:cs="Times New Roman"/>
          <w:lang w:val="es-MX"/>
        </w:rPr>
        <w:fldChar w:fldCharType="separate"/>
      </w:r>
      <w:r w:rsidRPr="00CB1BCD">
        <w:rPr>
          <w:rFonts w:cs="Times New Roman"/>
          <w:noProof/>
          <w:lang w:val="es-MX"/>
        </w:rPr>
        <w:t>Adachi y Fabinger (2022)</w:t>
      </w:r>
      <w:r w:rsidRPr="00CB1BCD">
        <w:rPr>
          <w:rFonts w:cs="Times New Roman"/>
          <w:lang w:val="es-MX"/>
        </w:rPr>
        <w:fldChar w:fldCharType="end"/>
      </w:r>
      <w:r w:rsidR="00967382" w:rsidRPr="00CB1BCD">
        <w:rPr>
          <w:rFonts w:cs="Times New Roman"/>
          <w:lang w:val="es-MX"/>
        </w:rPr>
        <w:t xml:space="preserve"> </w:t>
      </w:r>
      <w:r w:rsidR="00E35AC4" w:rsidRPr="00CB1BCD">
        <w:rPr>
          <w:rFonts w:cs="Times New Roman"/>
          <w:lang w:val="es-MX"/>
        </w:rPr>
        <w:t xml:space="preserve">muestran que la incidencia, el traspaso a precios y el </w:t>
      </w:r>
      <w:proofErr w:type="gramStart"/>
      <w:r w:rsidR="00E35AC4" w:rsidRPr="00CB1BCD">
        <w:rPr>
          <w:rFonts w:cs="Times New Roman"/>
          <w:lang w:val="es-MX"/>
        </w:rPr>
        <w:t>bienestar derivados</w:t>
      </w:r>
      <w:proofErr w:type="gramEnd"/>
      <w:r w:rsidR="00E35AC4" w:rsidRPr="00CB1BCD">
        <w:rPr>
          <w:rFonts w:cs="Times New Roman"/>
          <w:lang w:val="es-MX"/>
        </w:rPr>
        <w:t xml:space="preserve"> de un impuesto dependen de la estructura de mercado y del grado de competencia. Esta observación introduce un matiz relevante: el modelo supone que el precio al carbono genera una respuesta agregada de emisiones, pero no especifica quién absorbe el impuesto ni en qué proporción se traslada a consumidores finales. En mercados energéticos regulados, concentrados o sujetos a subsidios, la incidencia económica puede diferir de la incidencia legal, alterando tanto la reducción de emisiones como el bienestar.</w:t>
      </w:r>
    </w:p>
    <w:p w14:paraId="1D54D50D" w14:textId="77777777" w:rsidR="00956B0C" w:rsidRPr="00CB1BCD" w:rsidRDefault="00956B0C" w:rsidP="001C71C2">
      <w:pPr>
        <w:rPr>
          <w:rFonts w:cs="Times New Roman"/>
          <w:lang w:val="es-MX"/>
        </w:rPr>
      </w:pPr>
    </w:p>
    <w:p w14:paraId="4AB27147" w14:textId="03A3DFA4" w:rsidR="00E35AC4" w:rsidRDefault="00967382" w:rsidP="001C71C2">
      <w:pPr>
        <w:rPr>
          <w:rFonts w:cs="Times New Roman"/>
          <w:lang w:val="es-MX"/>
        </w:rPr>
      </w:pPr>
      <w:r w:rsidRPr="00CB1BCD">
        <w:rPr>
          <w:rFonts w:cs="Times New Roman"/>
          <w:lang w:val="es-MX"/>
        </w:rPr>
        <w:fldChar w:fldCharType="begin" w:fldLock="1"/>
      </w:r>
      <w:r w:rsidRPr="00CB1BCD">
        <w:rPr>
          <w:rFonts w:cs="Times New Roman"/>
          <w:lang w:val="es-MX"/>
        </w:rPr>
        <w:instrText>ADDIN CSL_CITATION {"citationItems":[{"id":"ITEM-1","itemData":{"DOI":"10.1016/J.JEEM.2008.02.001","ISSN":"0095-0696","abstract":"Recent studies consider public R&amp;D spending that affects abatement knowledge and endogenous growth, distortionary taxes that affect capital formation, pollution taxes that affect environmental degradation, and regeneration that restores natural capital. Our model combines all those elements. The combination affects prior results, focusing on two parameters: the need for distorting taxes, and productivity of abatement knowledge relative to pollution. First, these two extensions can reverse prior findings that pollution tax revenue is always enough to pay for public R&amp;D. Second, tax distortions and externalities alter prior findings that the ratio of public to private capital depends only on output elasticities. Third, dynamics affect prior static findings about other public spending \"crowding out\" environmental public goods. Fourth, a greater need for public spending can lead to greater increases in distorting taxes or pollution taxes. Fifth, greater environmental regulation can mean growth is higher or lower, even if welfare is higher. © 2008 Elsevier Inc. All rights reserved.","author":[{"dropping-particle":"","family":"Fullerton","given":"Don","non-dropping-particle":"","parse-names":false,"suffix":""},{"dropping-particle":"","family":"Kim","given":"Seung Rae","non-dropping-particle":"","parse-names":false,"suffix":""}],"container-title":"Journal of Environmental Economics and Management","id":"ITEM-1","issue":"2","issued":{"date-parts":[["2008","9","1"]]},"page":"141-154","publisher":"Academic Press","title":"Environmental investment and policy with distortionary taxes, and endogenous growth","type":"article-journal","volume":"56"},"uris":["http://www.mendeley.com/documents/?uuid=6d14a22e-c615-393e-99ee-6527ecb2d8c8"]}],"mendeley":{"formattedCitation":"(Fullerton y Kim, 2008)","manualFormatting":"Fullerton y Kim (2008)","plainTextFormattedCitation":"(Fullerton y Kim, 2008)","previouslyFormattedCitation":"(Fullerton y Kim, 2008)"},"properties":{"noteIndex":0},"schema":"https://github.com/citation-style-language/schema/raw/master/csl-citation.json"}</w:instrText>
      </w:r>
      <w:r w:rsidRPr="00CB1BCD">
        <w:rPr>
          <w:rFonts w:cs="Times New Roman"/>
          <w:lang w:val="es-MX"/>
        </w:rPr>
        <w:fldChar w:fldCharType="separate"/>
      </w:r>
      <w:r w:rsidRPr="00CB1BCD">
        <w:rPr>
          <w:rFonts w:cs="Times New Roman"/>
          <w:noProof/>
          <w:lang w:val="es-MX"/>
        </w:rPr>
        <w:t>Fullerton y Kim (2008)</w:t>
      </w:r>
      <w:r w:rsidRPr="00CB1BCD">
        <w:rPr>
          <w:rFonts w:cs="Times New Roman"/>
          <w:lang w:val="es-MX"/>
        </w:rPr>
        <w:fldChar w:fldCharType="end"/>
      </w:r>
      <w:r w:rsidR="00E35AC4" w:rsidRPr="00CB1BCD">
        <w:rPr>
          <w:rFonts w:cs="Times New Roman"/>
          <w:lang w:val="es-MX"/>
        </w:rPr>
        <w:t xml:space="preserve"> analizan la interacción entre impuestos ambientales, impuestos distorsionantes, inversión pública en conocimiento de abatimiento y crecimiento. Su planteamiento permite interpretar que el reciclaje de ingresos puede tener efectos más amplios que los representados en una fórmula agregada de bienestar parcial. Si la recaudación se dirige a eficiencia energética, innovación, infraestructura limpia o reducción de otros impuestos, el efecto dinámico podría mejorar el resultado social. Si los ingresos no se vinculan con objetivos ambientales o distributivos, el beneficio asociado al reciclaje sería menor.</w:t>
      </w:r>
    </w:p>
    <w:p w14:paraId="62F6D076" w14:textId="77777777" w:rsidR="00956B0C" w:rsidRPr="00CB1BCD" w:rsidRDefault="00956B0C" w:rsidP="001C71C2">
      <w:pPr>
        <w:rPr>
          <w:rFonts w:cs="Times New Roman"/>
          <w:lang w:val="es-MX"/>
        </w:rPr>
      </w:pPr>
    </w:p>
    <w:p w14:paraId="3AB080AB" w14:textId="7EDC865E" w:rsidR="00E35AC4" w:rsidRDefault="00967382" w:rsidP="001C71C2">
      <w:pPr>
        <w:rPr>
          <w:rFonts w:cs="Times New Roman"/>
          <w:lang w:val="es-MX"/>
        </w:rPr>
      </w:pPr>
      <w:r w:rsidRPr="00CB1BCD">
        <w:rPr>
          <w:rFonts w:cs="Times New Roman"/>
          <w:lang w:val="es-MX"/>
        </w:rPr>
        <w:fldChar w:fldCharType="begin" w:fldLock="1"/>
      </w:r>
      <w:r w:rsidR="00622B51" w:rsidRPr="00CB1BCD">
        <w:rPr>
          <w:rFonts w:cs="Times New Roman"/>
          <w:lang w:val="es-MX"/>
        </w:rPr>
        <w:instrText>ADDIN CSL_CITATION {"citationItems":[{"id":"ITEM-1","itemData":{"DOI":"10.1016/J.JEEM.2019.01.012","ISSN":"0095-0696","abstract":"This paper develops a new perspective on stranded assets in climate policy using a partial equilibrium model of the energy sector. Political-economy related aspects are considered in the government's objective function. Lobbying power of firms or fiscal considerations by the government lead to time inconsistency: The government will deviate from a previously announced carbon tax which creates stranded assets. Under rational expectations, we show that a time-consistent policy outcome exists with either a zero carbon tax or a prohibitive carbon tax that leads to zero fossil investments – an “all-or-nothing” policy. Although stranded assets are crucial to such a bipolar outcome, they disappear again under time-consistent policy. Which of the two outcomes (all or nothing) prevails depends on the lobbying power of owners of fixed factors (land and fossil resources) but not on fiscal revenue considerations or on the lobbying power of renewable or fossil energy firms.","author":[{"dropping-particle":"","family":"Kalkuhl","given":"Matthias","non-dropping-particle":"","parse-names":false,"suffix":""},{"dropping-particle":"","family":"Steckel","given":"Jan Christoph","non-dropping-particle":"","parse-names":false,"suffix":""},{"dropping-particle":"","family":"Edenhofer","given":"Ottmar","non-dropping-particle":"","parse-names":false,"suffix":""}],"container-title":"Journal of Environmental Economics and Management","id":"ITEM-1","issued":{"date-parts":[["2020","3","1"]]},"page":"102214","publisher":"Academic Press","title":"All or nothing: Climate policy when assets can become stranded","type":"article-journal","volume":"100"},"uris":["http://www.mendeley.com/documents/?uuid=20d911bb-c0c1-30aa-9422-c78a5d432337"]}],"mendeley":{"formattedCitation":"(Kalkuhl, Steckel y Edenhofer, 2020)","manualFormatting":"Kalkuhl, Steckel y Edenhofer (2020)","plainTextFormattedCitation":"(Kalkuhl, Steckel y Edenhofer, 2020)","previouslyFormattedCitation":"(Kalkuhl, Steckel y Edenhofer, 2020)"},"properties":{"noteIndex":0},"schema":"https://github.com/citation-style-language/schema/raw/master/csl-citation.json"}</w:instrText>
      </w:r>
      <w:r w:rsidRPr="00CB1BCD">
        <w:rPr>
          <w:rFonts w:cs="Times New Roman"/>
          <w:lang w:val="es-MX"/>
        </w:rPr>
        <w:fldChar w:fldCharType="separate"/>
      </w:r>
      <w:r w:rsidRPr="00CB1BCD">
        <w:rPr>
          <w:rFonts w:cs="Times New Roman"/>
          <w:noProof/>
          <w:lang w:val="es-MX"/>
        </w:rPr>
        <w:t xml:space="preserve">Kalkuhl </w:t>
      </w:r>
      <w:r w:rsidR="00F046E5" w:rsidRPr="00CB1BCD">
        <w:rPr>
          <w:rFonts w:cs="Times New Roman"/>
          <w:i/>
          <w:iCs/>
          <w:noProof/>
          <w:lang w:val="es-MX"/>
        </w:rPr>
        <w:t>et al.</w:t>
      </w:r>
      <w:r w:rsidRPr="00CB1BCD">
        <w:rPr>
          <w:rFonts w:cs="Times New Roman"/>
          <w:noProof/>
          <w:lang w:val="es-MX"/>
        </w:rPr>
        <w:t xml:space="preserve"> (2020)</w:t>
      </w:r>
      <w:r w:rsidRPr="00CB1BCD">
        <w:rPr>
          <w:rFonts w:cs="Times New Roman"/>
          <w:lang w:val="es-MX"/>
        </w:rPr>
        <w:fldChar w:fldCharType="end"/>
      </w:r>
      <w:r w:rsidR="00E35AC4" w:rsidRPr="00CB1BCD">
        <w:rPr>
          <w:rFonts w:cs="Times New Roman"/>
          <w:lang w:val="es-MX"/>
        </w:rPr>
        <w:t xml:space="preserve"> destacan que la política climática puede enfrentar problemas de inconsistencia temporal cuando existen activos fósiles, presiones políticas y expectativas de reversión regulatoria. Esta </w:t>
      </w:r>
      <w:r w:rsidR="00E35AC4" w:rsidRPr="00CB1BCD">
        <w:rPr>
          <w:rFonts w:cs="Times New Roman"/>
          <w:lang w:val="es-MX"/>
        </w:rPr>
        <w:lastRenderedPageBreak/>
        <w:t xml:space="preserve">aportación </w:t>
      </w:r>
      <w:r w:rsidR="00F046E5" w:rsidRPr="00CB1BCD">
        <w:rPr>
          <w:rFonts w:cs="Times New Roman"/>
          <w:lang w:val="es-MX"/>
        </w:rPr>
        <w:t>introduce una dimensión dinámica que no se modela en el presente estudio, pero que resulta</w:t>
      </w:r>
      <w:r w:rsidR="00E35AC4" w:rsidRPr="00CB1BCD">
        <w:rPr>
          <w:rFonts w:cs="Times New Roman"/>
          <w:lang w:val="es-MX"/>
        </w:rPr>
        <w:t xml:space="preserve"> relevante para una trayectoria creciente de precio al carbono. La reducción de emisiones simulada presupone que los agentes responden a una señal de precio creíble; si anticipan cambios discrecionales, subsidios compensatorios o debilitamiento futuro del impuesto, la respuesta de inversión y sustitución tecnológica podría ser menor.</w:t>
      </w:r>
    </w:p>
    <w:p w14:paraId="1C81AC8B" w14:textId="77777777" w:rsidR="00956B0C" w:rsidRPr="00CB1BCD" w:rsidRDefault="00956B0C" w:rsidP="001C71C2">
      <w:pPr>
        <w:rPr>
          <w:rFonts w:cs="Times New Roman"/>
          <w:lang w:val="es-MX"/>
        </w:rPr>
      </w:pPr>
    </w:p>
    <w:p w14:paraId="2044EBBA" w14:textId="65C668F7" w:rsidR="00E35AC4" w:rsidRDefault="00967382" w:rsidP="001C71C2">
      <w:pPr>
        <w:rPr>
          <w:rFonts w:cs="Times New Roman"/>
          <w:lang w:val="es-MX"/>
        </w:rPr>
      </w:pPr>
      <w:r w:rsidRPr="00CB1BCD">
        <w:rPr>
          <w:rFonts w:cs="Times New Roman"/>
          <w:lang w:val="es-MX"/>
        </w:rPr>
        <w:fldChar w:fldCharType="begin" w:fldLock="1"/>
      </w:r>
      <w:r w:rsidR="00097639" w:rsidRPr="00CB1BCD">
        <w:rPr>
          <w:rFonts w:cs="Times New Roman"/>
          <w:lang w:val="es-MX"/>
        </w:rPr>
        <w:instrText>ADDIN CSL_CITATION {"citationItems":[{"id":"ITEM-1","itemData":{"DOI":"10.1016/j.reseneeco.2024.101476","ISSN":"09287655","abstract":"The 2023 reform of the EU emissions trading system (ETS) has brought to the forefront the issue of allowance market functioning in the long run. With the emissions cap set to go down to zero by around 2040, the next decade can be said to mark the ‘ETS endgame’. That is, when allowance supply approaches zero, the market is bound to undergo fundamental changes. Yet the understanding and modeling of terminal market dynamics with ever-increasing allowance scarcity is limited. We analyze possible changes in market conditions and behaviors, and discuss associated challenges in two steps. First, we use the numerical model LIMES-EU to illuminate the market dynamics instigated by the reform, i.e. key changes in allowance price formation, supply adjustment and abatement by sector. Second, we use our numerical results as a backdrop to identify potential frictions (financial, informational, distributional) that may arise or become exacerbated as the endgame unfolds. Besides shedding light on whether the ETS is fit for climate neutrality, these frictions further delineate avenues for future research to improve the understanding and modeling of emissions trading in the long run.","author":[{"dropping-particle":"","family":"Pahle","given":"Michael","non-dropping-particle":"","parse-names":false,"suffix":""},{"dropping-particle":"","family":"Quemin","given":"Simon","non-dropping-particle":"","parse-names":false,"suffix":""},{"dropping-particle":"","family":"Osorio","given":"Sebastian","non-dropping-particle":"","parse-names":false,"suffix":""},{"dropping-particle":"","family":"Günther","given":"Claudia","non-dropping-particle":"","parse-names":false,"suffix":""},{"dropping-particle":"","family":"Pietzcker","given":"Robert","non-dropping-particle":"","parse-names":false,"suffix":""}],"container-title":"Resource and Energy Economics","id":"ITEM-1","issued":{"date-parts":[["2025"]]},"page":"101476","publisher":"Elsevier B.V.","title":"The emerging endgame: The EU ETS on the road towards climate neutrality","type":"article-journal","volume":"81"},"uris":["http://www.mendeley.com/documents/?uuid=f0635bc6-7575-4085-829a-1a134661ed5b"]}],"mendeley":{"formattedCitation":"(Pahle &lt;i&gt;et al.&lt;/i&gt;, 2025)","manualFormatting":"Pahle et al. (2025)","plainTextFormattedCitation":"(Pahle et al., 2025)","previouslyFormattedCitation":"(Pahle &lt;i&gt;et al.&lt;/i&gt;, 2025)"},"properties":{"noteIndex":0},"schema":"https://github.com/citation-style-language/schema/raw/master/csl-citation.json"}</w:instrText>
      </w:r>
      <w:r w:rsidRPr="00CB1BCD">
        <w:rPr>
          <w:rFonts w:cs="Times New Roman"/>
          <w:lang w:val="es-MX"/>
        </w:rPr>
        <w:fldChar w:fldCharType="separate"/>
      </w:r>
      <w:r w:rsidRPr="00CB1BCD">
        <w:rPr>
          <w:rFonts w:cs="Times New Roman"/>
          <w:noProof/>
          <w:lang w:val="es-MX"/>
        </w:rPr>
        <w:t xml:space="preserve">Pahle </w:t>
      </w:r>
      <w:r w:rsidRPr="00CB1BCD">
        <w:rPr>
          <w:rFonts w:cs="Times New Roman"/>
          <w:i/>
          <w:noProof/>
          <w:lang w:val="es-MX"/>
        </w:rPr>
        <w:t>et al.</w:t>
      </w:r>
      <w:r w:rsidRPr="00CB1BCD">
        <w:rPr>
          <w:rFonts w:cs="Times New Roman"/>
          <w:noProof/>
          <w:lang w:val="es-MX"/>
        </w:rPr>
        <w:t xml:space="preserve"> (2025)</w:t>
      </w:r>
      <w:r w:rsidRPr="00CB1BCD">
        <w:rPr>
          <w:rFonts w:cs="Times New Roman"/>
          <w:lang w:val="es-MX"/>
        </w:rPr>
        <w:fldChar w:fldCharType="end"/>
      </w:r>
      <w:r w:rsidR="00E35AC4" w:rsidRPr="00CB1BCD">
        <w:rPr>
          <w:rFonts w:cs="Times New Roman"/>
          <w:lang w:val="es-MX"/>
        </w:rPr>
        <w:t xml:space="preserve"> analizan las fricciones que surgen cuando los sistemas de comercio de emisiones avanzan hacia etapas de neutralidad climática. Aunque su objeto es el mercado europeo de derechos de emisión, su discusión coincide con una implicación central del presente estudio: a medida que la base contaminante se reduce, el instrumento pierde capacidad como fuente permanente de ingresos. Esta convergencia es relevante porque muestra que el límite recaudatorio no es exclusivo de los impuestos al carbono; también aparece en instrumentos de precio diseñados para inducir descarbonización.</w:t>
      </w:r>
    </w:p>
    <w:p w14:paraId="049D5BE3" w14:textId="77777777" w:rsidR="00956B0C" w:rsidRPr="00CB1BCD" w:rsidRDefault="00956B0C" w:rsidP="001C71C2">
      <w:pPr>
        <w:rPr>
          <w:rFonts w:cs="Times New Roman"/>
          <w:lang w:val="es-MX"/>
        </w:rPr>
      </w:pPr>
    </w:p>
    <w:p w14:paraId="0F13FC9D" w14:textId="644E041C" w:rsidR="00E35AC4" w:rsidRDefault="00097639" w:rsidP="001C71C2">
      <w:pPr>
        <w:rPr>
          <w:rFonts w:cs="Times New Roman"/>
          <w:lang w:val="es-MX"/>
        </w:rPr>
      </w:pPr>
      <w:r w:rsidRPr="00CB1BCD">
        <w:rPr>
          <w:rFonts w:cs="Times New Roman"/>
          <w:lang w:val="es-MX"/>
        </w:rPr>
        <w:fldChar w:fldCharType="begin" w:fldLock="1"/>
      </w:r>
      <w:r w:rsidR="000E6915" w:rsidRPr="00CB1BCD">
        <w:rPr>
          <w:rFonts w:cs="Times New Roman"/>
          <w:lang w:val="es-MX"/>
        </w:rPr>
        <w:instrText>ADDIN CSL_CITATION {"citationItems":[{"id":"ITEM-1","itemData":{"DOI":"10.1016/J.LANDUSEPOL.2022.106164","ISSN":"0264-8377","abstract":"Ensuring the protection of natural vegetation is a complex challenge that demands a mix of policies. In Brazil, conservation on private land relies on large-scale command-and-control instruments and a few Payments for Ecosystem Services schemes, with taxation playing a minimal role for conservation. The Rural Land Tax (Imposto Territorial Rural, ITR) is a long-established rural tax created to stimulate pasture productivity and promoting social, agricultural, and environmental benefits. Despite the potential for environmental protection, several problems lead to low achievement of ITR's goals. Such problems include low revenue, the difficulty in inspecting declarations, obsolete productivity criteria, and intrinsic environmental distortions. In this work, we analyze current ITR and show that distortions can potentially occur even for properties that adopt deforestation in the Amazon. We also built a spatially explicit model that estimate tax revenue at a property level under different scenarios. Then, we simulate two scenarios: the first corresponds to the existing Law, and the second, to a legal revision we propose to overcome some of its current problems. We found that total tax collection under the current Law should be BRL 5.75 bi per year, almost four times the actual value collected in 2017 (BRL 1.5 bi). The results suggest that the low achievement of goals follows from a large group paying meager tax rates and another group being overpenalized. Results for the proposed revision highlight its inherent potential to address ITR's central challenges, and for a given set of parameters, the revenue under the new formulation could rise to BRL 16.8 bi per year. Our results provide a concrete and science-based alternative for ITR. The application of the proposals of revision we suggest could promote additional environmental protection, consequently strengthening the role of taxation as an instrument for the maintenance of natural vegetation in Brazil.","author":[{"dropping-particle":"","family":"Fendrich","given":"Arthur Nicolaus","non-dropping-particle":"","parse-names":false,"suffix":""},{"dropping-particle":"","family":"Barretto","given":"Alberto","non-dropping-particle":"","parse-names":false,"suffix":""},{"dropping-particle":"","family":"Sparovek","given":"Gerd","non-dropping-particle":"","parse-names":false,"suffix":""},{"dropping-particle":"","family":"Gianetti","given":"Giovani William","non-dropping-particle":"","parse-names":false,"suffix":""},{"dropping-particle":"","family":"Luz Ferreira","given":"Jaqueline","non-dropping-particle":"da","parse-names":false,"suffix":""},{"dropping-particle":"","family":"Souza Filho","given":"Carlos Frederico Marés","non-dropping-particle":"de","parse-names":false,"suffix":""},{"dropping-particle":"","family":"Appy","given":"Bernard","non-dropping-particle":"","parse-names":false,"suffix":""},{"dropping-particle":"","family":"Guedes","given":"Carlos Mario Guedes","non-dropping-particle":"de","parse-names":false,"suffix":""},{"dropping-particle":"","family":"Leitão","given":"Sergio","non-dropping-particle":"","parse-names":false,"suffix":""}],"container-title":"Land Use Policy","id":"ITEM-1","issued":{"date-parts":[["2022","8","1"]]},"page":"106164","publisher":"Pergamon","title":"Taxation aiming environmental protection: The case of Brazilian Rural Land Tax","type":"article-journal","volume":"119"},"uris":["http://www.mendeley.com/documents/?uuid=cc03f542-6bd9-33c3-b045-1b3004eff780"]}],"mendeley":{"formattedCitation":"(Fendrich &lt;i&gt;et al.&lt;/i&gt;, 2022)","manualFormatting":"Fendrich et al. (2022)","plainTextFormattedCitation":"(Fendrich et al., 2022)","previouslyFormattedCitation":"(Fendrich &lt;i&gt;et al.&lt;/i&gt;, 2022)"},"properties":{"noteIndex":0},"schema":"https://github.com/citation-style-language/schema/raw/master/csl-citation.json"}</w:instrText>
      </w:r>
      <w:r w:rsidRPr="00CB1BCD">
        <w:rPr>
          <w:rFonts w:cs="Times New Roman"/>
          <w:lang w:val="es-MX"/>
        </w:rPr>
        <w:fldChar w:fldCharType="separate"/>
      </w:r>
      <w:r w:rsidRPr="00CB1BCD">
        <w:rPr>
          <w:rFonts w:cs="Times New Roman"/>
          <w:noProof/>
          <w:lang w:val="es-MX"/>
        </w:rPr>
        <w:t xml:space="preserve">Fendrich </w:t>
      </w:r>
      <w:r w:rsidRPr="00CB1BCD">
        <w:rPr>
          <w:rFonts w:cs="Times New Roman"/>
          <w:i/>
          <w:noProof/>
          <w:lang w:val="es-MX"/>
        </w:rPr>
        <w:t>et al.</w:t>
      </w:r>
      <w:r w:rsidRPr="00CB1BCD">
        <w:rPr>
          <w:rFonts w:cs="Times New Roman"/>
          <w:noProof/>
          <w:lang w:val="es-MX"/>
        </w:rPr>
        <w:t xml:space="preserve"> (2022)</w:t>
      </w:r>
      <w:r w:rsidRPr="00CB1BCD">
        <w:rPr>
          <w:rFonts w:cs="Times New Roman"/>
          <w:lang w:val="es-MX"/>
        </w:rPr>
        <w:fldChar w:fldCharType="end"/>
      </w:r>
      <w:r w:rsidR="00E35AC4" w:rsidRPr="00CB1BCD">
        <w:rPr>
          <w:rFonts w:cs="Times New Roman"/>
          <w:lang w:val="es-MX"/>
        </w:rPr>
        <w:t xml:space="preserve"> muestran que un impuesto con fines ambientales puede tener bajo desempeño cuando la base gravable, la fiscalización y los objetivos ecológicos no están alineados. Esta evidencia resulta útil para el caso mexicano porque la efectividad de un impuesto al carbono no depende únicamente del nivel de precio. También requiere una definición clara de la base gravada, reglas de actualización, capacidad administrativa, coherencia normativa y mecanismos verificables para vincular el instrumento con resultados ambientales.</w:t>
      </w:r>
    </w:p>
    <w:p w14:paraId="5E649F1D" w14:textId="77777777" w:rsidR="00956B0C" w:rsidRPr="00CB1BCD" w:rsidRDefault="00956B0C" w:rsidP="001C71C2">
      <w:pPr>
        <w:rPr>
          <w:rFonts w:cs="Times New Roman"/>
          <w:lang w:val="es-MX"/>
        </w:rPr>
      </w:pPr>
    </w:p>
    <w:p w14:paraId="4D7FD110" w14:textId="5F4CCF7C" w:rsidR="00690012" w:rsidRDefault="000E6915" w:rsidP="001C71C2">
      <w:pPr>
        <w:rPr>
          <w:rFonts w:cs="Times New Roman"/>
          <w:lang w:val="es-MX"/>
        </w:rPr>
      </w:pPr>
      <w:r w:rsidRPr="00CB1BCD">
        <w:rPr>
          <w:rFonts w:cs="Times New Roman"/>
          <w:lang w:val="es-MX"/>
        </w:rPr>
        <w:fldChar w:fldCharType="begin" w:fldLock="1"/>
      </w:r>
      <w:r w:rsidR="00B03B11" w:rsidRPr="00CB1BCD">
        <w:rPr>
          <w:rFonts w:cs="Times New Roman"/>
          <w:lang w:val="es-MX"/>
        </w:rPr>
        <w:instrText>ADDIN CSL_CITATION {"citationItems":[{"id":"ITEM-1","itemData":{"DOI":"10.1016/j.enpol.2011.07.022","ISSN":"03014215","abstract":"Climate change policy involving a price on carbon would change the mix of power plants and the amount of water they withdraw and consume to generate electricity. We analyze what these changes could entail for electricity generation in the United States under four climate policy scenarios that involve different costs for emitting CO2 and different technology options for reducing emissions out to the year 2030. The potential impacts of the scenarios on the U.S. electric system are modeled using a modified version of the U.S. National Energy Modeling System and water-use factors for thermoelectric power plants derived from electric utility data compiled by the U.S. Energy Information Administration. Under all the climate-policy scenarios, freshwater withdrawals decline 2-14% relative to a business-as-usual (BAU) scenario of no U.S. climate policy. Furthermore, water use decreases as the price on CO2 under the climate policies increases. At relatively high carbon prices (&gt;$50/tonne CO2), however, retrofitting coal plants to capture CO2 increases freshwater consumption compared to BAU in 2030. Our analysis suggests that climate policies and a carbon price will reduce both electricity generation and freshwater withdrawals compared to BAU unless a substantial number of coal plants are retrofitted to capture CO2. © 2011 Elsevier Ltd.","author":[{"dropping-particle":"","family":"Chandel","given":"Munish K.","non-dropping-particle":"","parse-names":false,"suffix":""},{"dropping-particle":"","family":"Pratson","given":"Lincoln F.","non-dropping-particle":"","parse-names":false,"suffix":""},{"dropping-particle":"","family":"Jackson","given":"Robert B.","non-dropping-particle":"","parse-names":false,"suffix":""}],"container-title":"Energy Policy","id":"ITEM-1","issue":"10","issued":{"date-parts":[["2011"]]},"page":"6234-6242","publisher":"Elsevier","title":"The potential impacts of climate-change policy on freshwater use in thermoelectric power generation","type":"article-journal","volume":"39"},"uris":["http://www.mendeley.com/documents/?uuid=a26f3d35-c443-4377-9d45-65353c2176e7"]}],"mendeley":{"formattedCitation":"(Chandel, Pratson y Jackson, 2011)","manualFormatting":"Chandel, Pratson y Jackson (2011)","plainTextFormattedCitation":"(Chandel, Pratson y Jackson, 2011)","previouslyFormattedCitation":"(Chandel, Pratson y Jackson, 2011)"},"properties":{"noteIndex":0},"schema":"https://github.com/citation-style-language/schema/raw/master/csl-citation.json"}</w:instrText>
      </w:r>
      <w:r w:rsidRPr="00CB1BCD">
        <w:rPr>
          <w:rFonts w:cs="Times New Roman"/>
          <w:lang w:val="es-MX"/>
        </w:rPr>
        <w:fldChar w:fldCharType="separate"/>
      </w:r>
      <w:r w:rsidRPr="00CB1BCD">
        <w:rPr>
          <w:rFonts w:cs="Times New Roman"/>
          <w:noProof/>
          <w:lang w:val="es-MX"/>
        </w:rPr>
        <w:t xml:space="preserve">Chandel </w:t>
      </w:r>
      <w:r w:rsidR="00F046E5" w:rsidRPr="00CB1BCD">
        <w:rPr>
          <w:rFonts w:cs="Times New Roman"/>
          <w:i/>
          <w:iCs/>
          <w:noProof/>
          <w:lang w:val="es-MX"/>
        </w:rPr>
        <w:t>et al.</w:t>
      </w:r>
      <w:r w:rsidRPr="00CB1BCD">
        <w:rPr>
          <w:rFonts w:cs="Times New Roman"/>
          <w:noProof/>
          <w:lang w:val="es-MX"/>
        </w:rPr>
        <w:t xml:space="preserve"> (2011)</w:t>
      </w:r>
      <w:r w:rsidRPr="00CB1BCD">
        <w:rPr>
          <w:rFonts w:cs="Times New Roman"/>
          <w:lang w:val="es-MX"/>
        </w:rPr>
        <w:fldChar w:fldCharType="end"/>
      </w:r>
      <w:r w:rsidR="00E35AC4" w:rsidRPr="00CB1BCD">
        <w:rPr>
          <w:rFonts w:cs="Times New Roman"/>
          <w:lang w:val="es-MX"/>
        </w:rPr>
        <w:t xml:space="preserve"> muestran que las políticas de precio al carbono pueden producir efectos ambientales adicionales, como cambios en el uso de agua dentro de la generación eléctrica. Esta referencia sugiere que el beneficio ambiental estimado en el modelo</w:t>
      </w:r>
      <w:r w:rsidR="00C67AAB" w:rsidRPr="00CB1BCD">
        <w:rPr>
          <w:rFonts w:cs="Times New Roman"/>
          <w:lang w:val="es-MX"/>
        </w:rPr>
        <w:t xml:space="preserve"> es una medida acotada,</w:t>
      </w:r>
      <w:r w:rsidR="00E35AC4" w:rsidRPr="00CB1BCD">
        <w:rPr>
          <w:rFonts w:cs="Times New Roman"/>
          <w:lang w:val="es-MX"/>
        </w:rPr>
        <w:t xml:space="preserve"> </w:t>
      </w:r>
      <w:r w:rsidR="00D86812" w:rsidRPr="00CB1BCD">
        <w:rPr>
          <w:rFonts w:cs="Times New Roman"/>
          <w:lang w:val="es-MX"/>
        </w:rPr>
        <w:t>ya</w:t>
      </w:r>
      <w:r w:rsidR="00E35AC4" w:rsidRPr="00CB1BCD">
        <w:rPr>
          <w:rFonts w:cs="Times New Roman"/>
          <w:lang w:val="es-MX"/>
        </w:rPr>
        <w:t xml:space="preserve"> que solo monetiza emisiones de CO₂ evitadas mediante un costo social del carbono. Una evaluación más amplia podría incorporar beneficios sobre calidad del aire, salud pública, agua, eficiencia energética o reducción de contaminantes locales, aunque ello requeriría una estructura metodológica distinta.</w:t>
      </w:r>
      <w:bookmarkEnd w:id="1"/>
    </w:p>
    <w:p w14:paraId="63A6A11C" w14:textId="77777777" w:rsidR="00956B0C" w:rsidRPr="00CB1BCD" w:rsidRDefault="00956B0C" w:rsidP="001C71C2">
      <w:pPr>
        <w:rPr>
          <w:rFonts w:cs="Times New Roman"/>
          <w:lang w:val="es-MX"/>
        </w:rPr>
      </w:pPr>
    </w:p>
    <w:bookmarkEnd w:id="2"/>
    <w:p w14:paraId="57A9603D" w14:textId="19968CE1" w:rsidR="00690012" w:rsidRPr="00CD3EC0" w:rsidRDefault="00CB38AA" w:rsidP="001C71C2">
      <w:pPr>
        <w:pStyle w:val="Ttulo1"/>
        <w:spacing w:line="360" w:lineRule="auto"/>
        <w:jc w:val="center"/>
        <w:rPr>
          <w:rFonts w:cs="Times New Roman"/>
          <w:b/>
          <w:color w:val="auto"/>
          <w:sz w:val="32"/>
          <w:szCs w:val="32"/>
          <w:lang w:val="es-ES_tradnl"/>
        </w:rPr>
      </w:pPr>
      <w:r w:rsidRPr="00CD3EC0">
        <w:rPr>
          <w:rFonts w:cs="Times New Roman"/>
          <w:b/>
          <w:color w:val="auto"/>
          <w:sz w:val="32"/>
          <w:szCs w:val="32"/>
          <w:lang w:val="es-ES_tradnl"/>
        </w:rPr>
        <w:t>Conclusiones</w:t>
      </w:r>
    </w:p>
    <w:p w14:paraId="2067ED3B" w14:textId="77777777" w:rsidR="00956B0C" w:rsidRPr="00956B0C" w:rsidRDefault="00956B0C" w:rsidP="001C71C2">
      <w:pPr>
        <w:rPr>
          <w:lang w:val="es-ES_tradnl"/>
        </w:rPr>
      </w:pPr>
    </w:p>
    <w:p w14:paraId="7F6BE001" w14:textId="54363E40" w:rsidR="00C319B1" w:rsidRDefault="00C319B1" w:rsidP="001C71C2">
      <w:pPr>
        <w:ind w:firstLine="708"/>
        <w:rPr>
          <w:rFonts w:cs="Times New Roman"/>
          <w:lang w:val="es-MX"/>
        </w:rPr>
      </w:pPr>
      <w:r w:rsidRPr="00CB1BCD">
        <w:rPr>
          <w:rFonts w:cs="Times New Roman"/>
          <w:lang w:val="es-MX"/>
        </w:rPr>
        <w:t xml:space="preserve">El presente estudio analizó el impuesto al carbono en México mediante un enfoque teórico-matemático que vincula la tributación pigouviana con la Curva de Laffer ambiental. A partir de una </w:t>
      </w:r>
      <w:r w:rsidRPr="00CB1BCD">
        <w:rPr>
          <w:rFonts w:cs="Times New Roman"/>
          <w:lang w:val="es-MX"/>
        </w:rPr>
        <w:lastRenderedPageBreak/>
        <w:t xml:space="preserve">simulación determinística </w:t>
      </w:r>
      <w:r w:rsidR="003A0319" w:rsidRPr="00CB1BCD">
        <w:rPr>
          <w:rFonts w:cs="Times New Roman"/>
          <w:lang w:val="es-MX"/>
        </w:rPr>
        <w:t>estática de forma reducida</w:t>
      </w:r>
      <w:r w:rsidRPr="00CB1BCD">
        <w:rPr>
          <w:rFonts w:cs="Times New Roman"/>
          <w:lang w:val="es-MX"/>
        </w:rPr>
        <w:t>, se examinó la relación entre precio al carbono, emisiones, recaudación potencial y bienestar parcial, manteniendo una estructura metodológica parsimoniosa y consistente con el propósito de evaluar el instrumento desde una perspectiva fiscal y ambiental.</w:t>
      </w:r>
    </w:p>
    <w:p w14:paraId="27D3BC7C" w14:textId="77777777" w:rsidR="00956B0C" w:rsidRPr="00CB1BCD" w:rsidRDefault="00956B0C" w:rsidP="001C71C2">
      <w:pPr>
        <w:rPr>
          <w:rFonts w:cs="Times New Roman"/>
          <w:lang w:val="es-MX"/>
        </w:rPr>
      </w:pPr>
    </w:p>
    <w:p w14:paraId="687D7B40" w14:textId="2E844D36" w:rsidR="00C319B1" w:rsidRDefault="00C319B1" w:rsidP="001C71C2">
      <w:pPr>
        <w:rPr>
          <w:rFonts w:cs="Times New Roman"/>
          <w:lang w:val="es-MX"/>
        </w:rPr>
      </w:pPr>
      <w:r w:rsidRPr="00CB1BCD">
        <w:rPr>
          <w:rFonts w:cs="Times New Roman"/>
          <w:lang w:val="es-MX"/>
        </w:rPr>
        <w:t>Los resultados permiten sostener que, bajo la calibración empleada</w:t>
      </w:r>
      <w:r w:rsidR="003A0319" w:rsidRPr="00CB1BCD">
        <w:rPr>
          <w:rFonts w:cs="Times New Roman"/>
          <w:lang w:val="es-MX"/>
        </w:rPr>
        <w:t xml:space="preserve"> y los supuestos del modelo</w:t>
      </w:r>
      <w:r w:rsidRPr="00CB1BCD">
        <w:rPr>
          <w:rFonts w:cs="Times New Roman"/>
          <w:lang w:val="es-MX"/>
        </w:rPr>
        <w:t xml:space="preserve">, </w:t>
      </w:r>
      <w:r w:rsidR="003A0319" w:rsidRPr="00CB1BCD">
        <w:rPr>
          <w:rFonts w:cs="Times New Roman"/>
          <w:lang w:val="es-MX"/>
        </w:rPr>
        <w:t xml:space="preserve">la función simulada se ubica en un tramo en </w:t>
      </w:r>
      <w:r w:rsidRPr="00CB1BCD">
        <w:rPr>
          <w:rFonts w:cs="Times New Roman"/>
          <w:lang w:val="es-MX"/>
        </w:rPr>
        <w:t>el</w:t>
      </w:r>
      <w:r w:rsidR="003A0319" w:rsidRPr="00CB1BCD">
        <w:rPr>
          <w:rFonts w:cs="Times New Roman"/>
          <w:lang w:val="es-MX"/>
        </w:rPr>
        <w:t xml:space="preserve"> que el fortalecimiento</w:t>
      </w:r>
      <w:r w:rsidRPr="00CB1BCD">
        <w:rPr>
          <w:rFonts w:cs="Times New Roman"/>
          <w:lang w:val="es-MX"/>
        </w:rPr>
        <w:t xml:space="preserve"> </w:t>
      </w:r>
      <w:r w:rsidR="003A0319" w:rsidRPr="00CB1BCD">
        <w:rPr>
          <w:rFonts w:cs="Times New Roman"/>
          <w:lang w:val="es-MX"/>
        </w:rPr>
        <w:t>gradual del precio puede aumentar la rec</w:t>
      </w:r>
      <w:r w:rsidRPr="00CB1BCD">
        <w:rPr>
          <w:rFonts w:cs="Times New Roman"/>
          <w:lang w:val="es-MX"/>
        </w:rPr>
        <w:t>audación potencial y</w:t>
      </w:r>
      <w:r w:rsidR="003A0319" w:rsidRPr="00CB1BCD">
        <w:rPr>
          <w:rFonts w:cs="Times New Roman"/>
          <w:lang w:val="es-MX"/>
        </w:rPr>
        <w:t>,</w:t>
      </w:r>
      <w:r w:rsidRPr="00CB1BCD">
        <w:rPr>
          <w:rFonts w:cs="Times New Roman"/>
          <w:lang w:val="es-MX"/>
        </w:rPr>
        <w:t xml:space="preserve"> simultáneamente</w:t>
      </w:r>
      <w:r w:rsidR="003A0319" w:rsidRPr="00CB1BCD">
        <w:rPr>
          <w:rFonts w:cs="Times New Roman"/>
          <w:lang w:val="es-MX"/>
        </w:rPr>
        <w:t>, reducir</w:t>
      </w:r>
      <w:r w:rsidRPr="00CB1BCD">
        <w:rPr>
          <w:rFonts w:cs="Times New Roman"/>
          <w:lang w:val="es-MX"/>
        </w:rPr>
        <w:t xml:space="preserve"> las emisiones. Este hallazgo </w:t>
      </w:r>
      <w:r w:rsidR="0010290C" w:rsidRPr="00CB1BCD">
        <w:rPr>
          <w:rFonts w:cs="Times New Roman"/>
          <w:lang w:val="es-MX"/>
        </w:rPr>
        <w:t>subraya</w:t>
      </w:r>
      <w:r w:rsidRPr="00CB1BCD">
        <w:rPr>
          <w:rFonts w:cs="Times New Roman"/>
          <w:lang w:val="es-MX"/>
        </w:rPr>
        <w:t xml:space="preserve"> la pertinencia de analizar el instrumento no solo como una fuente de ingresos públicos, sino como un mecanismo de corrección ambiental cuyo desempeño depende de la respuesta de la base contaminante.</w:t>
      </w:r>
    </w:p>
    <w:p w14:paraId="7AC3ABA7" w14:textId="77777777" w:rsidR="00956B0C" w:rsidRPr="00CB1BCD" w:rsidRDefault="00956B0C" w:rsidP="001C71C2">
      <w:pPr>
        <w:rPr>
          <w:rFonts w:cs="Times New Roman"/>
          <w:lang w:val="es-MX"/>
        </w:rPr>
      </w:pPr>
    </w:p>
    <w:p w14:paraId="30EE2DE1" w14:textId="403473E1" w:rsidR="00C319B1" w:rsidRDefault="00C319B1" w:rsidP="001C71C2">
      <w:pPr>
        <w:rPr>
          <w:rFonts w:cs="Times New Roman"/>
          <w:lang w:val="es-MX"/>
        </w:rPr>
      </w:pPr>
      <w:r w:rsidRPr="00CB1BCD">
        <w:rPr>
          <w:rFonts w:cs="Times New Roman"/>
          <w:lang w:val="es-MX"/>
        </w:rPr>
        <w:t>La Curva de Laffer ambiental muestra que la relación entre precio y recaudación no es indefinidamente creciente. Conforme el precio al carbono aumenta, la reducción de emisiones termina limitando la base gravable del impuesto. Esta dinámica es central para la interpretación del instrumento, porque una menor recaudación futura p</w:t>
      </w:r>
      <w:r w:rsidR="003A0319" w:rsidRPr="00CB1BCD">
        <w:rPr>
          <w:rFonts w:cs="Times New Roman"/>
          <w:lang w:val="es-MX"/>
        </w:rPr>
        <w:t>odría</w:t>
      </w:r>
      <w:r w:rsidRPr="00CB1BCD">
        <w:rPr>
          <w:rFonts w:cs="Times New Roman"/>
          <w:lang w:val="es-MX"/>
        </w:rPr>
        <w:t xml:space="preserve"> reflejar un avance ambiental</w:t>
      </w:r>
      <w:r w:rsidR="003A0319" w:rsidRPr="00CB1BCD">
        <w:rPr>
          <w:rFonts w:cs="Times New Roman"/>
          <w:lang w:val="es-MX"/>
        </w:rPr>
        <w:t>, siempre que derive de menores emisiones y no de evasión,</w:t>
      </w:r>
      <w:r w:rsidRPr="00CB1BCD">
        <w:rPr>
          <w:rFonts w:cs="Times New Roman"/>
          <w:lang w:val="es-MX"/>
        </w:rPr>
        <w:t xml:space="preserve"> </w:t>
      </w:r>
      <w:r w:rsidR="003A0319" w:rsidRPr="00CB1BCD">
        <w:rPr>
          <w:rFonts w:cs="Times New Roman"/>
          <w:lang w:val="es-MX"/>
        </w:rPr>
        <w:t>sustitución hacia combustibles no cubiertos o fallas administrativas</w:t>
      </w:r>
      <w:r w:rsidRPr="00CB1BCD">
        <w:rPr>
          <w:rFonts w:cs="Times New Roman"/>
          <w:lang w:val="es-MX"/>
        </w:rPr>
        <w:t>.</w:t>
      </w:r>
    </w:p>
    <w:p w14:paraId="0B01EAEB" w14:textId="77777777" w:rsidR="00956B0C" w:rsidRPr="00CB1BCD" w:rsidRDefault="00956B0C" w:rsidP="001C71C2">
      <w:pPr>
        <w:rPr>
          <w:rFonts w:cs="Times New Roman"/>
          <w:lang w:val="es-MX"/>
        </w:rPr>
      </w:pPr>
    </w:p>
    <w:p w14:paraId="3C62CC3B" w14:textId="264B3DF9" w:rsidR="00C319B1" w:rsidRDefault="00C319B1" w:rsidP="001C71C2">
      <w:pPr>
        <w:rPr>
          <w:rFonts w:cs="Times New Roman"/>
          <w:lang w:val="es-MX"/>
        </w:rPr>
      </w:pPr>
      <w:r w:rsidRPr="00CB1BCD">
        <w:rPr>
          <w:rFonts w:cs="Times New Roman"/>
          <w:lang w:val="es-MX"/>
        </w:rPr>
        <w:t xml:space="preserve">El análisis también </w:t>
      </w:r>
      <w:r w:rsidR="00267CC6" w:rsidRPr="00CB1BCD">
        <w:rPr>
          <w:rFonts w:cs="Times New Roman"/>
          <w:lang w:val="es-MX"/>
        </w:rPr>
        <w:t>muestra</w:t>
      </w:r>
      <w:r w:rsidRPr="00CB1BCD">
        <w:rPr>
          <w:rFonts w:cs="Times New Roman"/>
          <w:lang w:val="es-MX"/>
        </w:rPr>
        <w:t xml:space="preserve"> que el máximo recaudatorio no coincide necesariamente con el mayor </w:t>
      </w:r>
      <w:r w:rsidR="00267CC6" w:rsidRPr="00CB1BCD">
        <w:rPr>
          <w:rFonts w:cs="Times New Roman"/>
          <w:lang w:val="es-MX"/>
        </w:rPr>
        <w:t xml:space="preserve">valor del indicador de </w:t>
      </w:r>
      <w:r w:rsidRPr="00CB1BCD">
        <w:rPr>
          <w:rFonts w:cs="Times New Roman"/>
          <w:lang w:val="es-MX"/>
        </w:rPr>
        <w:t xml:space="preserve">bienestar parcial. Esta diferencia </w:t>
      </w:r>
      <w:r w:rsidR="00985532" w:rsidRPr="00CB1BCD">
        <w:rPr>
          <w:rFonts w:cs="Times New Roman"/>
          <w:lang w:val="es-MX"/>
        </w:rPr>
        <w:t>sugiere</w:t>
      </w:r>
      <w:r w:rsidRPr="00CB1BCD">
        <w:rPr>
          <w:rFonts w:cs="Times New Roman"/>
          <w:lang w:val="es-MX"/>
        </w:rPr>
        <w:t xml:space="preserve"> que el diseño de un impuesto al carbono no debe guiarse únicamente por criterios fiscales. Desde una perspectiva pigouviana, el objetivo principal consiste en aproximar el precio de las emisiones a su costo social, evitando que la búsqueda de ingresos públicos desplace la finalidad correctiva del instrumento.</w:t>
      </w:r>
    </w:p>
    <w:p w14:paraId="3B777F4F" w14:textId="77777777" w:rsidR="00956B0C" w:rsidRPr="00CB1BCD" w:rsidRDefault="00956B0C" w:rsidP="001C71C2">
      <w:pPr>
        <w:rPr>
          <w:rFonts w:cs="Times New Roman"/>
          <w:lang w:val="es-MX"/>
        </w:rPr>
      </w:pPr>
    </w:p>
    <w:p w14:paraId="3541D5D1" w14:textId="430C146B" w:rsidR="00C319B1" w:rsidRDefault="00C319B1" w:rsidP="001C71C2">
      <w:pPr>
        <w:rPr>
          <w:rFonts w:cs="Times New Roman"/>
          <w:lang w:val="es-MX"/>
        </w:rPr>
      </w:pPr>
      <w:r w:rsidRPr="00CB1BCD">
        <w:rPr>
          <w:rFonts w:cs="Times New Roman"/>
          <w:lang w:val="es-MX"/>
        </w:rPr>
        <w:t>La incorporación del reciclaje de ingresos modifica de manera sustantiva la evaluación del impuesto</w:t>
      </w:r>
      <w:r w:rsidR="00EA4911" w:rsidRPr="00CB1BCD">
        <w:rPr>
          <w:rFonts w:cs="Times New Roman"/>
          <w:lang w:val="es-MX"/>
        </w:rPr>
        <w:t xml:space="preserve"> dentro del modelo</w:t>
      </w:r>
      <w:r w:rsidRPr="00CB1BCD">
        <w:rPr>
          <w:rFonts w:cs="Times New Roman"/>
          <w:lang w:val="es-MX"/>
        </w:rPr>
        <w:t xml:space="preserve">. </w:t>
      </w:r>
      <w:r w:rsidR="003714B2" w:rsidRPr="00CB1BCD">
        <w:rPr>
          <w:rFonts w:cs="Times New Roman"/>
        </w:rPr>
        <w:t>Dado que el indicador añade una proporción de la recaudación reciclada, el bienestar parcial mejora conforme aumenta el coeficiente de reciclaje efectivo. Por ello, el destino de los recursos generados debe considerarse parte integral del diseño de la política, no un componente posterior o accesorio</w:t>
      </w:r>
      <w:r w:rsidRPr="00CB1BCD">
        <w:rPr>
          <w:rFonts w:cs="Times New Roman"/>
          <w:lang w:val="es-MX"/>
        </w:rPr>
        <w:t>.</w:t>
      </w:r>
    </w:p>
    <w:p w14:paraId="45A45FC4" w14:textId="77777777" w:rsidR="00956B0C" w:rsidRPr="00CB1BCD" w:rsidRDefault="00956B0C" w:rsidP="001C71C2">
      <w:pPr>
        <w:rPr>
          <w:rFonts w:cs="Times New Roman"/>
          <w:lang w:val="es-MX"/>
        </w:rPr>
      </w:pPr>
    </w:p>
    <w:p w14:paraId="39B4795C" w14:textId="079EF416" w:rsidR="00C319B1" w:rsidRDefault="00C319B1" w:rsidP="001C71C2">
      <w:pPr>
        <w:rPr>
          <w:rFonts w:cs="Times New Roman"/>
          <w:lang w:val="es-MX"/>
        </w:rPr>
      </w:pPr>
      <w:r w:rsidRPr="00CB1BCD">
        <w:rPr>
          <w:rFonts w:cs="Times New Roman"/>
          <w:lang w:val="es-MX"/>
        </w:rPr>
        <w:t xml:space="preserve">Para el caso mexicano, los </w:t>
      </w:r>
      <w:r w:rsidR="00641A2B" w:rsidRPr="00CB1BCD">
        <w:rPr>
          <w:rFonts w:cs="Times New Roman"/>
          <w:lang w:val="es-MX"/>
        </w:rPr>
        <w:t>resultados</w:t>
      </w:r>
      <w:r w:rsidRPr="00CB1BCD">
        <w:rPr>
          <w:rFonts w:cs="Times New Roman"/>
          <w:lang w:val="es-MX"/>
        </w:rPr>
        <w:t xml:space="preserve"> sugieren que el fortalecimiento del impuesto al carbono requeriría una arquitectura fiscal más amplia que el simple aumento de</w:t>
      </w:r>
      <w:r w:rsidR="00BD6CBB" w:rsidRPr="00CB1BCD">
        <w:rPr>
          <w:rFonts w:cs="Times New Roman"/>
          <w:lang w:val="es-MX"/>
        </w:rPr>
        <w:t>l</w:t>
      </w:r>
      <w:r w:rsidRPr="00CB1BCD">
        <w:rPr>
          <w:rFonts w:cs="Times New Roman"/>
          <w:lang w:val="es-MX"/>
        </w:rPr>
        <w:t xml:space="preserve"> </w:t>
      </w:r>
      <w:r w:rsidR="00BD6CBB" w:rsidRPr="00CB1BCD">
        <w:rPr>
          <w:rFonts w:cs="Times New Roman"/>
          <w:lang w:val="es-MX"/>
        </w:rPr>
        <w:t>precio</w:t>
      </w:r>
      <w:r w:rsidRPr="00CB1BCD">
        <w:rPr>
          <w:rFonts w:cs="Times New Roman"/>
          <w:lang w:val="es-MX"/>
        </w:rPr>
        <w:t xml:space="preserve">. </w:t>
      </w:r>
      <w:r w:rsidR="00BD6CBB" w:rsidRPr="00CB1BCD">
        <w:rPr>
          <w:rFonts w:cs="Times New Roman"/>
        </w:rPr>
        <w:t xml:space="preserve">Como implicaciones de política </w:t>
      </w:r>
      <w:r w:rsidR="00BD6CBB" w:rsidRPr="00CB1BCD">
        <w:rPr>
          <w:rFonts w:cs="Times New Roman"/>
        </w:rPr>
        <w:lastRenderedPageBreak/>
        <w:t>derivadas del marco analítico y de la literatura revisada, su efectividad dependería de la cobertura de combustibles gravados, la actualización del precio, la transparencia en el uso de los ingresos, la capacidad institucional de implementación y la existencia de mecanismos que permitan compensar posibles efectos distributivos adversos</w:t>
      </w:r>
      <w:r w:rsidRPr="00CB1BCD">
        <w:rPr>
          <w:rFonts w:cs="Times New Roman"/>
          <w:lang w:val="es-MX"/>
        </w:rPr>
        <w:t>.</w:t>
      </w:r>
    </w:p>
    <w:p w14:paraId="25749609" w14:textId="77777777" w:rsidR="00956B0C" w:rsidRPr="00CB1BCD" w:rsidRDefault="00956B0C" w:rsidP="001C71C2">
      <w:pPr>
        <w:rPr>
          <w:rFonts w:cs="Times New Roman"/>
          <w:lang w:val="es-MX"/>
        </w:rPr>
      </w:pPr>
    </w:p>
    <w:p w14:paraId="5BA08E5E" w14:textId="2B6B4B0F" w:rsidR="00C319B1" w:rsidRDefault="00C319B1" w:rsidP="001C71C2">
      <w:pPr>
        <w:rPr>
          <w:rFonts w:cs="Times New Roman"/>
          <w:lang w:val="es-MX"/>
        </w:rPr>
      </w:pPr>
      <w:r w:rsidRPr="00CB1BCD">
        <w:rPr>
          <w:rFonts w:cs="Times New Roman"/>
          <w:lang w:val="es-MX"/>
        </w:rPr>
        <w:t xml:space="preserve">El alcance del estudio debe interpretarse dentro de los límites de una simulación agregada </w:t>
      </w:r>
      <w:r w:rsidR="00BD6CBB" w:rsidRPr="00CB1BCD">
        <w:rPr>
          <w:rFonts w:cs="Times New Roman"/>
          <w:lang w:val="es-MX"/>
        </w:rPr>
        <w:t>de forma reducida</w:t>
      </w:r>
      <w:r w:rsidRPr="00CB1BCD">
        <w:rPr>
          <w:rFonts w:cs="Times New Roman"/>
          <w:lang w:val="es-MX"/>
        </w:rPr>
        <w:t xml:space="preserve">. El modelo no incorpora elasticidades estimadas directamente para México, heterogeneidad sectorial, incidencia distributiva, informalidad, traspaso a precios ni efectos macroeconómicos de equilibrio general. </w:t>
      </w:r>
      <w:r w:rsidR="00BD6CBB" w:rsidRPr="00CB1BCD">
        <w:rPr>
          <w:rFonts w:cs="Times New Roman"/>
          <w:lang w:val="es-MX"/>
        </w:rPr>
        <w:t xml:space="preserve">Asimismo, depende de una forma funcional específica, de la calibración con un punto ancla, de un costo social del carbono constante, de una curva marginal de abatimiento lineal y de un tratamiento simplificado de la recaudación reciclada. </w:t>
      </w:r>
      <w:r w:rsidRPr="00CB1BCD">
        <w:rPr>
          <w:rFonts w:cs="Times New Roman"/>
          <w:lang w:val="es-MX"/>
        </w:rPr>
        <w:t>Estas limitaciones no invalidan el ejercicio, pero delimitan su uso como una aproximación analítica y no como una proyección oficial</w:t>
      </w:r>
      <w:r w:rsidR="00BD6CBB" w:rsidRPr="00CB1BCD">
        <w:rPr>
          <w:rFonts w:cs="Times New Roman"/>
          <w:lang w:val="es-MX"/>
        </w:rPr>
        <w:t>,</w:t>
      </w:r>
      <w:r w:rsidRPr="00CB1BCD">
        <w:rPr>
          <w:rFonts w:cs="Times New Roman"/>
          <w:lang w:val="es-MX"/>
        </w:rPr>
        <w:t xml:space="preserve"> una estimación causal</w:t>
      </w:r>
      <w:r w:rsidR="00BD6CBB" w:rsidRPr="00CB1BCD">
        <w:rPr>
          <w:rFonts w:cs="Times New Roman"/>
          <w:lang w:val="es-MX"/>
        </w:rPr>
        <w:t xml:space="preserve"> o una recomendación directa de precio</w:t>
      </w:r>
      <w:r w:rsidRPr="00CB1BCD">
        <w:rPr>
          <w:rFonts w:cs="Times New Roman"/>
          <w:lang w:val="es-MX"/>
        </w:rPr>
        <w:t>.</w:t>
      </w:r>
    </w:p>
    <w:p w14:paraId="77C24D1F" w14:textId="77777777" w:rsidR="00956B0C" w:rsidRPr="00CB1BCD" w:rsidRDefault="00956B0C" w:rsidP="001C71C2">
      <w:pPr>
        <w:rPr>
          <w:rFonts w:cs="Times New Roman"/>
          <w:lang w:val="es-MX"/>
        </w:rPr>
      </w:pPr>
    </w:p>
    <w:p w14:paraId="548642A5" w14:textId="6717C857" w:rsidR="000D5A3D" w:rsidRPr="00CB1BCD" w:rsidRDefault="00C319B1" w:rsidP="001C71C2">
      <w:pPr>
        <w:rPr>
          <w:rFonts w:cs="Times New Roman"/>
          <w:lang w:val="es-MX"/>
        </w:rPr>
      </w:pPr>
      <w:r w:rsidRPr="00CB1BCD">
        <w:rPr>
          <w:rFonts w:cs="Times New Roman"/>
          <w:lang w:val="es-MX"/>
        </w:rPr>
        <w:t xml:space="preserve">Futuras investigaciones podrían ampliar este enfoque mediante datos observados de recaudación efectiva, emisiones, precios de combustibles y patrones de gasto de los hogares. También sería pertinente incorporar </w:t>
      </w:r>
      <w:r w:rsidR="00177C2C" w:rsidRPr="00CB1BCD">
        <w:rPr>
          <w:rFonts w:cs="Times New Roman"/>
        </w:rPr>
        <w:t>comparación de formas funcionales, análisis de sensibilidad e incertidumbre, estimación econométrica de elasticidades, validación con recaudación observada, evaluación distributiva con microdatos y análisis del valor social de la recaudación reciclada</w:t>
      </w:r>
      <w:r w:rsidRPr="00CB1BCD">
        <w:rPr>
          <w:rFonts w:cs="Times New Roman"/>
          <w:lang w:val="es-MX"/>
        </w:rPr>
        <w:t>.</w:t>
      </w:r>
    </w:p>
    <w:p w14:paraId="504952E6" w14:textId="27FE20A4" w:rsidR="00C319B1" w:rsidRPr="00CB1BCD" w:rsidRDefault="00C319B1" w:rsidP="001C71C2">
      <w:pPr>
        <w:rPr>
          <w:rFonts w:cs="Times New Roman"/>
          <w:lang w:val="es-MX"/>
        </w:rPr>
      </w:pPr>
      <w:r w:rsidRPr="00CB1BCD">
        <w:rPr>
          <w:rFonts w:cs="Times New Roman"/>
          <w:lang w:val="es-MX"/>
        </w:rPr>
        <w:br w:type="page"/>
      </w:r>
    </w:p>
    <w:p w14:paraId="3DB7A9A7" w14:textId="344D7950" w:rsidR="00C2655B" w:rsidRPr="00CD3EC0" w:rsidRDefault="00CB38AA" w:rsidP="001C71C2">
      <w:pPr>
        <w:pStyle w:val="Ttulo1"/>
        <w:spacing w:line="360" w:lineRule="auto"/>
        <w:jc w:val="center"/>
        <w:rPr>
          <w:rFonts w:cs="Times New Roman"/>
          <w:b/>
          <w:color w:val="auto"/>
          <w:sz w:val="32"/>
          <w:szCs w:val="32"/>
          <w:lang w:val="es-ES_tradnl"/>
        </w:rPr>
      </w:pPr>
      <w:r w:rsidRPr="00CD3EC0">
        <w:rPr>
          <w:rFonts w:cs="Times New Roman"/>
          <w:b/>
          <w:color w:val="auto"/>
          <w:sz w:val="32"/>
          <w:szCs w:val="32"/>
          <w:lang w:val="es-ES_tradnl"/>
        </w:rPr>
        <w:lastRenderedPageBreak/>
        <w:t>R</w:t>
      </w:r>
      <w:r w:rsidR="00690012" w:rsidRPr="00CD3EC0">
        <w:rPr>
          <w:rFonts w:cs="Times New Roman"/>
          <w:b/>
          <w:color w:val="auto"/>
          <w:sz w:val="32"/>
          <w:szCs w:val="32"/>
          <w:lang w:val="es-ES_tradnl"/>
        </w:rPr>
        <w:t>eferencias</w:t>
      </w:r>
    </w:p>
    <w:p w14:paraId="6BB80305" w14:textId="77777777" w:rsidR="00956B0C" w:rsidRPr="00956B0C" w:rsidRDefault="00956B0C" w:rsidP="001C71C2">
      <w:pPr>
        <w:rPr>
          <w:lang w:val="es-ES_tradnl"/>
        </w:rPr>
      </w:pPr>
    </w:p>
    <w:bookmarkEnd w:id="3"/>
    <w:bookmarkEnd w:id="4"/>
    <w:p w14:paraId="0F7E111E" w14:textId="77777777" w:rsidR="005755FF" w:rsidRPr="00CB1BCD" w:rsidRDefault="005755FF" w:rsidP="001C71C2">
      <w:pPr>
        <w:widowControl w:val="0"/>
        <w:autoSpaceDE w:val="0"/>
        <w:autoSpaceDN w:val="0"/>
        <w:adjustRightInd w:val="0"/>
        <w:ind w:left="340" w:hanging="340"/>
        <w:rPr>
          <w:rFonts w:cs="Times New Roman"/>
          <w:lang w:val="en-US"/>
        </w:rPr>
      </w:pPr>
      <w:r w:rsidRPr="00CB1BCD">
        <w:rPr>
          <w:rFonts w:cs="Times New Roman"/>
          <w:lang w:val="en-US"/>
        </w:rPr>
        <w:t xml:space="preserve">Abrell, J., Rausch, S., &amp; Schwarz, G. A. (2018). How robust is the uniform emissions pricing rule to social equity concerns? </w:t>
      </w:r>
      <w:r w:rsidRPr="00CB1BCD">
        <w:rPr>
          <w:rFonts w:cs="Times New Roman"/>
          <w:i/>
          <w:iCs/>
          <w:lang w:val="en-US"/>
        </w:rPr>
        <w:t>Journal of Environmental Economics and Management, 92</w:t>
      </w:r>
      <w:r w:rsidRPr="00CB1BCD">
        <w:rPr>
          <w:rFonts w:cs="Times New Roman"/>
          <w:lang w:val="en-US"/>
        </w:rPr>
        <w:t>, 783–814. https://doi.org/10.1016/j.jeem.2017.09.008</w:t>
      </w:r>
    </w:p>
    <w:p w14:paraId="726375A0" w14:textId="77777777" w:rsidR="005755FF" w:rsidRPr="00CB1BCD" w:rsidRDefault="005755FF" w:rsidP="001C71C2">
      <w:pPr>
        <w:widowControl w:val="0"/>
        <w:autoSpaceDE w:val="0"/>
        <w:autoSpaceDN w:val="0"/>
        <w:adjustRightInd w:val="0"/>
        <w:ind w:left="340" w:hanging="340"/>
        <w:rPr>
          <w:rFonts w:cs="Times New Roman"/>
          <w:lang w:val="en-US"/>
        </w:rPr>
      </w:pPr>
      <w:r w:rsidRPr="00CB1BCD">
        <w:rPr>
          <w:rFonts w:cs="Times New Roman"/>
          <w:lang w:val="en-US"/>
        </w:rPr>
        <w:t xml:space="preserve">Adachi, T., &amp; </w:t>
      </w:r>
      <w:proofErr w:type="spellStart"/>
      <w:r w:rsidRPr="00CB1BCD">
        <w:rPr>
          <w:rFonts w:cs="Times New Roman"/>
          <w:lang w:val="en-US"/>
        </w:rPr>
        <w:t>Fabinger</w:t>
      </w:r>
      <w:proofErr w:type="spellEnd"/>
      <w:r w:rsidRPr="00CB1BCD">
        <w:rPr>
          <w:rFonts w:cs="Times New Roman"/>
          <w:lang w:val="en-US"/>
        </w:rPr>
        <w:t xml:space="preserve">, M. (2022). Pass-through, welfare, and incidence under imperfect competition. </w:t>
      </w:r>
      <w:r w:rsidRPr="00CB1BCD">
        <w:rPr>
          <w:rFonts w:cs="Times New Roman"/>
          <w:i/>
          <w:iCs/>
          <w:lang w:val="en-US"/>
        </w:rPr>
        <w:t>Journal of Public Economics, 211</w:t>
      </w:r>
      <w:r w:rsidRPr="00CB1BCD">
        <w:rPr>
          <w:rFonts w:cs="Times New Roman"/>
          <w:lang w:val="en-US"/>
        </w:rPr>
        <w:t xml:space="preserve">, Article 104589. </w:t>
      </w:r>
      <w:hyperlink r:id="rId18" w:tgtFrame="_new" w:history="1">
        <w:r w:rsidRPr="00CB1BCD">
          <w:rPr>
            <w:rStyle w:val="Hipervnculo"/>
            <w:rFonts w:cs="Times New Roman"/>
            <w:lang w:val="en-US"/>
          </w:rPr>
          <w:t>https://doi.org/10.1016/j.jpubeco.2021.104589</w:t>
        </w:r>
      </w:hyperlink>
    </w:p>
    <w:p w14:paraId="6CA47122" w14:textId="31D20BB9" w:rsidR="005755FF" w:rsidRPr="00CB1BCD" w:rsidRDefault="005755FF" w:rsidP="001C71C2">
      <w:pPr>
        <w:widowControl w:val="0"/>
        <w:autoSpaceDE w:val="0"/>
        <w:autoSpaceDN w:val="0"/>
        <w:adjustRightInd w:val="0"/>
        <w:ind w:left="340" w:hanging="340"/>
        <w:rPr>
          <w:rFonts w:cs="Times New Roman"/>
          <w:lang w:val="en-US"/>
        </w:rPr>
      </w:pPr>
      <w:r w:rsidRPr="00CB1BCD">
        <w:rPr>
          <w:rFonts w:cs="Times New Roman"/>
          <w:lang w:val="en-US"/>
        </w:rPr>
        <w:t xml:space="preserve">Aubert, D., &amp; </w:t>
      </w:r>
      <w:proofErr w:type="spellStart"/>
      <w:r w:rsidRPr="00CB1BCD">
        <w:rPr>
          <w:rFonts w:cs="Times New Roman"/>
          <w:lang w:val="en-US"/>
        </w:rPr>
        <w:t>Chiroleu</w:t>
      </w:r>
      <w:proofErr w:type="spellEnd"/>
      <w:r w:rsidRPr="00CB1BCD">
        <w:rPr>
          <w:rFonts w:cs="Times New Roman"/>
          <w:lang w:val="en-US"/>
        </w:rPr>
        <w:t xml:space="preserve">-Assouline, M. (2019). Environmental tax reform and income distribution with imperfect heterogeneous </w:t>
      </w:r>
      <w:proofErr w:type="spellStart"/>
      <w:r w:rsidRPr="00CB1BCD">
        <w:rPr>
          <w:rFonts w:cs="Times New Roman"/>
          <w:lang w:val="en-US"/>
        </w:rPr>
        <w:t>labour</w:t>
      </w:r>
      <w:proofErr w:type="spellEnd"/>
      <w:r w:rsidRPr="00CB1BCD">
        <w:rPr>
          <w:rFonts w:cs="Times New Roman"/>
          <w:lang w:val="en-US"/>
        </w:rPr>
        <w:t xml:space="preserve"> markets. </w:t>
      </w:r>
      <w:r w:rsidRPr="00CB1BCD">
        <w:rPr>
          <w:rFonts w:cs="Times New Roman"/>
          <w:i/>
          <w:iCs/>
          <w:lang w:val="en-US"/>
        </w:rPr>
        <w:t>European Economic Review, 116</w:t>
      </w:r>
      <w:r w:rsidRPr="00CB1BCD">
        <w:rPr>
          <w:rFonts w:cs="Times New Roman"/>
          <w:lang w:val="en-US"/>
        </w:rPr>
        <w:t xml:space="preserve">, 60–82. </w:t>
      </w:r>
      <w:hyperlink r:id="rId19" w:history="1">
        <w:r w:rsidRPr="00CB1BCD">
          <w:rPr>
            <w:rStyle w:val="Hipervnculo"/>
            <w:rFonts w:cs="Times New Roman"/>
            <w:lang w:val="en-US"/>
          </w:rPr>
          <w:t>https://doi.org/10.1016/j.euroecorev.2019.03.006</w:t>
        </w:r>
      </w:hyperlink>
      <w:r w:rsidRPr="00CB1BCD">
        <w:rPr>
          <w:rFonts w:cs="Times New Roman"/>
          <w:lang w:val="en-US"/>
        </w:rPr>
        <w:t xml:space="preserve"> </w:t>
      </w:r>
    </w:p>
    <w:p w14:paraId="7B9528D9" w14:textId="77777777" w:rsidR="005755FF" w:rsidRPr="00CB1BCD" w:rsidRDefault="005755FF" w:rsidP="001C71C2">
      <w:pPr>
        <w:widowControl w:val="0"/>
        <w:autoSpaceDE w:val="0"/>
        <w:autoSpaceDN w:val="0"/>
        <w:adjustRightInd w:val="0"/>
        <w:ind w:left="340" w:hanging="340"/>
        <w:rPr>
          <w:rFonts w:cs="Times New Roman"/>
          <w:lang w:val="en-US"/>
        </w:rPr>
      </w:pPr>
      <w:r w:rsidRPr="00CB1BCD">
        <w:rPr>
          <w:rFonts w:cs="Times New Roman"/>
          <w:lang w:val="en-US"/>
        </w:rPr>
        <w:t xml:space="preserve">Bento, A. M., Jacobsen, M. R., &amp; Liu, A. A. (2018). Environmental policy in the presence of an informal sector. </w:t>
      </w:r>
      <w:r w:rsidRPr="00CB1BCD">
        <w:rPr>
          <w:rFonts w:cs="Times New Roman"/>
          <w:i/>
          <w:iCs/>
          <w:lang w:val="en-US"/>
        </w:rPr>
        <w:t>Journal of Environmental Economics and Management, 90</w:t>
      </w:r>
      <w:r w:rsidRPr="00CB1BCD">
        <w:rPr>
          <w:rFonts w:cs="Times New Roman"/>
          <w:lang w:val="en-US"/>
        </w:rPr>
        <w:t>, 61–77. https://doi.org/10.1016/j.jeem.2018.03.011</w:t>
      </w:r>
    </w:p>
    <w:p w14:paraId="244D04A5" w14:textId="77777777" w:rsidR="005755FF" w:rsidRPr="00CB1BCD" w:rsidRDefault="005755FF" w:rsidP="001C71C2">
      <w:pPr>
        <w:widowControl w:val="0"/>
        <w:autoSpaceDE w:val="0"/>
        <w:autoSpaceDN w:val="0"/>
        <w:adjustRightInd w:val="0"/>
        <w:ind w:left="340" w:hanging="340"/>
        <w:rPr>
          <w:rFonts w:cs="Times New Roman"/>
          <w:lang w:val="en-US"/>
        </w:rPr>
      </w:pPr>
      <w:r w:rsidRPr="00CB1BCD">
        <w:rPr>
          <w:rFonts w:cs="Times New Roman"/>
          <w:lang w:val="en-US"/>
        </w:rPr>
        <w:t xml:space="preserve">Black, S., </w:t>
      </w:r>
      <w:proofErr w:type="spellStart"/>
      <w:r w:rsidRPr="00CB1BCD">
        <w:rPr>
          <w:rFonts w:cs="Times New Roman"/>
          <w:lang w:val="en-US"/>
        </w:rPr>
        <w:t>Kirabaeva</w:t>
      </w:r>
      <w:proofErr w:type="spellEnd"/>
      <w:r w:rsidRPr="00CB1BCD">
        <w:rPr>
          <w:rFonts w:cs="Times New Roman"/>
          <w:lang w:val="en-US"/>
        </w:rPr>
        <w:t xml:space="preserve">, K., Parry, I. W. H., </w:t>
      </w:r>
      <w:proofErr w:type="spellStart"/>
      <w:r w:rsidRPr="00CB1BCD">
        <w:rPr>
          <w:rFonts w:cs="Times New Roman"/>
          <w:lang w:val="en-US"/>
        </w:rPr>
        <w:t>Raissi</w:t>
      </w:r>
      <w:proofErr w:type="spellEnd"/>
      <w:r w:rsidRPr="00CB1BCD">
        <w:rPr>
          <w:rFonts w:cs="Times New Roman"/>
          <w:lang w:val="en-US"/>
        </w:rPr>
        <w:t xml:space="preserve">, M., &amp; </w:t>
      </w:r>
      <w:proofErr w:type="spellStart"/>
      <w:r w:rsidRPr="00CB1BCD">
        <w:rPr>
          <w:rFonts w:cs="Times New Roman"/>
          <w:lang w:val="en-US"/>
        </w:rPr>
        <w:t>Zhunussova</w:t>
      </w:r>
      <w:proofErr w:type="spellEnd"/>
      <w:r w:rsidRPr="00CB1BCD">
        <w:rPr>
          <w:rFonts w:cs="Times New Roman"/>
          <w:lang w:val="en-US"/>
        </w:rPr>
        <w:t xml:space="preserve">, K. (2021). </w:t>
      </w:r>
      <w:r w:rsidRPr="00CB1BCD">
        <w:rPr>
          <w:rFonts w:cs="Times New Roman"/>
          <w:i/>
          <w:iCs/>
          <w:lang w:val="en-US"/>
        </w:rPr>
        <w:t>A comprehensive climate mitigation strategy for Mexico</w:t>
      </w:r>
      <w:r w:rsidRPr="00CB1BCD">
        <w:rPr>
          <w:rFonts w:cs="Times New Roman"/>
          <w:lang w:val="en-US"/>
        </w:rPr>
        <w:t xml:space="preserve"> (IMF Working Paper No. 2021/246). International Monetary Fund. </w:t>
      </w:r>
      <w:hyperlink r:id="rId20" w:tgtFrame="_new" w:history="1">
        <w:r w:rsidRPr="00CB1BCD">
          <w:rPr>
            <w:rStyle w:val="Hipervnculo"/>
            <w:rFonts w:cs="Times New Roman"/>
            <w:lang w:val="en-US"/>
          </w:rPr>
          <w:t>https://doi.org/10.5089/9781513599847.001</w:t>
        </w:r>
      </w:hyperlink>
    </w:p>
    <w:p w14:paraId="39B7F280" w14:textId="77777777" w:rsidR="005755FF" w:rsidRPr="00CB1BCD" w:rsidRDefault="005755FF" w:rsidP="001C71C2">
      <w:pPr>
        <w:widowControl w:val="0"/>
        <w:autoSpaceDE w:val="0"/>
        <w:autoSpaceDN w:val="0"/>
        <w:adjustRightInd w:val="0"/>
        <w:ind w:left="340" w:hanging="340"/>
        <w:rPr>
          <w:rFonts w:cs="Times New Roman"/>
          <w:lang w:val="en-US"/>
        </w:rPr>
      </w:pPr>
      <w:r w:rsidRPr="00CB1BCD">
        <w:rPr>
          <w:rFonts w:cs="Times New Roman"/>
          <w:lang w:val="en-US"/>
        </w:rPr>
        <w:t xml:space="preserve">Budolfson, M., Dennig, F., Errickson, F., Feindt, S., </w:t>
      </w:r>
      <w:proofErr w:type="spellStart"/>
      <w:r w:rsidRPr="00CB1BCD">
        <w:rPr>
          <w:rFonts w:cs="Times New Roman"/>
          <w:lang w:val="en-US"/>
        </w:rPr>
        <w:t>Ferranna</w:t>
      </w:r>
      <w:proofErr w:type="spellEnd"/>
      <w:r w:rsidRPr="00CB1BCD">
        <w:rPr>
          <w:rFonts w:cs="Times New Roman"/>
          <w:lang w:val="en-US"/>
        </w:rPr>
        <w:t xml:space="preserve">, M., </w:t>
      </w:r>
      <w:proofErr w:type="spellStart"/>
      <w:r w:rsidRPr="00CB1BCD">
        <w:rPr>
          <w:rFonts w:cs="Times New Roman"/>
          <w:lang w:val="en-US"/>
        </w:rPr>
        <w:t>Fleurbaey</w:t>
      </w:r>
      <w:proofErr w:type="spellEnd"/>
      <w:r w:rsidRPr="00CB1BCD">
        <w:rPr>
          <w:rFonts w:cs="Times New Roman"/>
          <w:lang w:val="en-US"/>
        </w:rPr>
        <w:t xml:space="preserve">, M., Klenert, D., Kornek, U., Kuruc, K., </w:t>
      </w:r>
      <w:proofErr w:type="spellStart"/>
      <w:r w:rsidRPr="00CB1BCD">
        <w:rPr>
          <w:rFonts w:cs="Times New Roman"/>
          <w:lang w:val="en-US"/>
        </w:rPr>
        <w:t>Méjean</w:t>
      </w:r>
      <w:proofErr w:type="spellEnd"/>
      <w:r w:rsidRPr="00CB1BCD">
        <w:rPr>
          <w:rFonts w:cs="Times New Roman"/>
          <w:lang w:val="en-US"/>
        </w:rPr>
        <w:t xml:space="preserve">, A., Peng, W., </w:t>
      </w:r>
      <w:proofErr w:type="spellStart"/>
      <w:r w:rsidRPr="00CB1BCD">
        <w:rPr>
          <w:rFonts w:cs="Times New Roman"/>
          <w:lang w:val="en-US"/>
        </w:rPr>
        <w:t>Scovronick</w:t>
      </w:r>
      <w:proofErr w:type="spellEnd"/>
      <w:r w:rsidRPr="00CB1BCD">
        <w:rPr>
          <w:rFonts w:cs="Times New Roman"/>
          <w:lang w:val="en-US"/>
        </w:rPr>
        <w:t xml:space="preserve">, N., Spears, D., Wagner, F., &amp; Zuber, S. (2021). Climate action with revenue recycling has benefits for poverty, inequality and well-being. </w:t>
      </w:r>
      <w:r w:rsidRPr="00CB1BCD">
        <w:rPr>
          <w:rFonts w:cs="Times New Roman"/>
          <w:i/>
          <w:iCs/>
          <w:lang w:val="en-US"/>
        </w:rPr>
        <w:t>Nature Climate Change, 11</w:t>
      </w:r>
      <w:r w:rsidRPr="00CB1BCD">
        <w:rPr>
          <w:rFonts w:cs="Times New Roman"/>
          <w:lang w:val="en-US"/>
        </w:rPr>
        <w:t xml:space="preserve">, 1111–1116. </w:t>
      </w:r>
      <w:hyperlink r:id="rId21" w:tgtFrame="_new" w:history="1">
        <w:r w:rsidRPr="00CB1BCD">
          <w:rPr>
            <w:rStyle w:val="Hipervnculo"/>
            <w:rFonts w:cs="Times New Roman"/>
            <w:lang w:val="en-US"/>
          </w:rPr>
          <w:t>https://doi.org/10.1038/s41558-021-01217-0</w:t>
        </w:r>
      </w:hyperlink>
    </w:p>
    <w:p w14:paraId="60DEFA0E" w14:textId="77777777" w:rsidR="005755FF" w:rsidRPr="00CB1BCD" w:rsidRDefault="005755FF" w:rsidP="001C71C2">
      <w:pPr>
        <w:widowControl w:val="0"/>
        <w:autoSpaceDE w:val="0"/>
        <w:autoSpaceDN w:val="0"/>
        <w:adjustRightInd w:val="0"/>
        <w:ind w:left="340" w:hanging="340"/>
        <w:rPr>
          <w:rFonts w:cs="Times New Roman"/>
          <w:lang w:val="es-MX"/>
        </w:rPr>
      </w:pPr>
      <w:r w:rsidRPr="00CB1BCD">
        <w:rPr>
          <w:rFonts w:cs="Times New Roman"/>
          <w:lang w:val="en-US"/>
        </w:rPr>
        <w:t xml:space="preserve">Caldara, D., Cavallo, M., &amp; Iacoviello, M. (2019). Oil price elasticities and oil price fluctuations. </w:t>
      </w:r>
      <w:r w:rsidRPr="00CB1BCD">
        <w:rPr>
          <w:rFonts w:cs="Times New Roman"/>
          <w:i/>
          <w:iCs/>
          <w:lang w:val="es-MX"/>
        </w:rPr>
        <w:t>Journal of Monetary Economics, 103</w:t>
      </w:r>
      <w:r w:rsidRPr="00CB1BCD">
        <w:rPr>
          <w:rFonts w:cs="Times New Roman"/>
          <w:lang w:val="es-MX"/>
        </w:rPr>
        <w:t>, 1–20. https://doi.org/10.1016/j.jmoneco.2018.08.004</w:t>
      </w:r>
    </w:p>
    <w:p w14:paraId="652BD7F4" w14:textId="77777777" w:rsidR="005755FF" w:rsidRPr="00CB1BCD" w:rsidRDefault="005755FF" w:rsidP="001C71C2">
      <w:pPr>
        <w:widowControl w:val="0"/>
        <w:autoSpaceDE w:val="0"/>
        <w:autoSpaceDN w:val="0"/>
        <w:adjustRightInd w:val="0"/>
        <w:ind w:left="340" w:hanging="340"/>
        <w:rPr>
          <w:rFonts w:cs="Times New Roman"/>
          <w:lang w:val="es-MX"/>
        </w:rPr>
      </w:pPr>
      <w:r w:rsidRPr="00CB1BCD">
        <w:rPr>
          <w:rFonts w:cs="Times New Roman"/>
          <w:lang w:val="es-MX"/>
        </w:rPr>
        <w:t xml:space="preserve">Cámara de Diputados. (2013a, 11 de diciembre). </w:t>
      </w:r>
      <w:r w:rsidRPr="00CB1BCD">
        <w:rPr>
          <w:rFonts w:cs="Times New Roman"/>
          <w:i/>
          <w:iCs/>
          <w:lang w:val="es-MX"/>
        </w:rPr>
        <w:t>Decreto por el que se reforman, adicionan y derogan diversas disposiciones de la Ley del Impuesto al Valor Agregado; de la Ley del Impuesto Especial sobre Producción y Servicios; de la Ley Federal de Derechos, se expide la Ley del Impuesto sobre la Renta, y se abrogan la Ley del Impuesto Empresarial a Tasa Única, y la Ley del Impuesto a los Depósitos en Efectivo</w:t>
      </w:r>
      <w:r w:rsidRPr="00CB1BCD">
        <w:rPr>
          <w:rFonts w:cs="Times New Roman"/>
          <w:lang w:val="es-MX"/>
        </w:rPr>
        <w:t xml:space="preserve">. Diario Oficial de la Federación. </w:t>
      </w:r>
      <w:hyperlink r:id="rId22" w:tgtFrame="_new" w:history="1">
        <w:r w:rsidRPr="00CB1BCD">
          <w:rPr>
            <w:rStyle w:val="Hipervnculo"/>
            <w:rFonts w:cs="Times New Roman"/>
            <w:lang w:val="es-MX"/>
          </w:rPr>
          <w:t>https://www.diputados.gob.mx/LeyesBiblio/ref/lieps/LIEPS_ref41_11dic13.pdf</w:t>
        </w:r>
      </w:hyperlink>
    </w:p>
    <w:p w14:paraId="5E08A8EB" w14:textId="77777777" w:rsidR="005755FF" w:rsidRPr="00CB1BCD" w:rsidRDefault="005755FF" w:rsidP="001C71C2">
      <w:pPr>
        <w:widowControl w:val="0"/>
        <w:autoSpaceDE w:val="0"/>
        <w:autoSpaceDN w:val="0"/>
        <w:adjustRightInd w:val="0"/>
        <w:ind w:left="340" w:hanging="340"/>
        <w:rPr>
          <w:rFonts w:cs="Times New Roman"/>
          <w:lang w:val="en-US"/>
        </w:rPr>
      </w:pPr>
      <w:r w:rsidRPr="00CB1BCD">
        <w:rPr>
          <w:rFonts w:cs="Times New Roman"/>
          <w:lang w:val="es-MX"/>
        </w:rPr>
        <w:t xml:space="preserve">Cámara de Diputados. (2013b, 8 de septiembre). </w:t>
      </w:r>
      <w:r w:rsidRPr="00CB1BCD">
        <w:rPr>
          <w:rFonts w:cs="Times New Roman"/>
          <w:i/>
          <w:iCs/>
          <w:lang w:val="es-MX"/>
        </w:rPr>
        <w:t>Gaceta Parlamentaria, año XVI, número 3857-C: Iniciativa de decreto por el que se reforman, adicionan y derogan diversas disposiciones fiscales</w:t>
      </w:r>
      <w:r w:rsidRPr="00CB1BCD">
        <w:rPr>
          <w:rFonts w:cs="Times New Roman"/>
          <w:lang w:val="es-MX"/>
        </w:rPr>
        <w:t xml:space="preserve">. </w:t>
      </w:r>
      <w:hyperlink r:id="rId23" w:tgtFrame="_new" w:history="1">
        <w:r w:rsidRPr="00CB1BCD">
          <w:rPr>
            <w:rStyle w:val="Hipervnculo"/>
            <w:rFonts w:cs="Times New Roman"/>
            <w:lang w:val="en-US"/>
          </w:rPr>
          <w:t>https://gaceta.diputados.gob.mx/PDF/62/2013/sep/20130908-C.pdf</w:t>
        </w:r>
      </w:hyperlink>
    </w:p>
    <w:p w14:paraId="0D453430" w14:textId="77777777" w:rsidR="005755FF" w:rsidRPr="00CB1BCD" w:rsidRDefault="005755FF" w:rsidP="001C71C2">
      <w:pPr>
        <w:widowControl w:val="0"/>
        <w:autoSpaceDE w:val="0"/>
        <w:autoSpaceDN w:val="0"/>
        <w:adjustRightInd w:val="0"/>
        <w:ind w:left="340" w:hanging="340"/>
        <w:rPr>
          <w:rFonts w:cs="Times New Roman"/>
          <w:lang w:val="en-US"/>
        </w:rPr>
      </w:pPr>
      <w:r w:rsidRPr="00CB1BCD">
        <w:rPr>
          <w:rFonts w:cs="Times New Roman"/>
          <w:lang w:val="en-US"/>
        </w:rPr>
        <w:lastRenderedPageBreak/>
        <w:t xml:space="preserve">Chandel, M. K., </w:t>
      </w:r>
      <w:proofErr w:type="spellStart"/>
      <w:r w:rsidRPr="00CB1BCD">
        <w:rPr>
          <w:rFonts w:cs="Times New Roman"/>
          <w:lang w:val="en-US"/>
        </w:rPr>
        <w:t>Pratson</w:t>
      </w:r>
      <w:proofErr w:type="spellEnd"/>
      <w:r w:rsidRPr="00CB1BCD">
        <w:rPr>
          <w:rFonts w:cs="Times New Roman"/>
          <w:lang w:val="en-US"/>
        </w:rPr>
        <w:t xml:space="preserve">, L. F., &amp; Jackson, R. B. (2011). The potential impacts of climate-change policy on freshwater use in thermoelectric power generation. </w:t>
      </w:r>
      <w:r w:rsidRPr="00CB1BCD">
        <w:rPr>
          <w:rFonts w:cs="Times New Roman"/>
          <w:i/>
          <w:iCs/>
          <w:lang w:val="en-US"/>
        </w:rPr>
        <w:t>Energy Policy, 39</w:t>
      </w:r>
      <w:r w:rsidRPr="00CB1BCD">
        <w:rPr>
          <w:rFonts w:cs="Times New Roman"/>
          <w:lang w:val="en-US"/>
        </w:rPr>
        <w:t xml:space="preserve">(10), 6234–6242. </w:t>
      </w:r>
      <w:hyperlink r:id="rId24" w:tgtFrame="_new" w:history="1">
        <w:r w:rsidRPr="00CB1BCD">
          <w:rPr>
            <w:rStyle w:val="Hipervnculo"/>
            <w:rFonts w:cs="Times New Roman"/>
            <w:lang w:val="en-US"/>
          </w:rPr>
          <w:t>https://doi.org/10.1016/j.enpol.2011.07.022</w:t>
        </w:r>
      </w:hyperlink>
    </w:p>
    <w:p w14:paraId="32EFCFBC" w14:textId="77777777" w:rsidR="005755FF" w:rsidRPr="00CB1BCD" w:rsidRDefault="005755FF" w:rsidP="001C71C2">
      <w:pPr>
        <w:widowControl w:val="0"/>
        <w:autoSpaceDE w:val="0"/>
        <w:autoSpaceDN w:val="0"/>
        <w:adjustRightInd w:val="0"/>
        <w:ind w:left="340" w:hanging="340"/>
        <w:rPr>
          <w:rFonts w:cs="Times New Roman"/>
          <w:lang w:val="en-US"/>
        </w:rPr>
      </w:pPr>
      <w:r w:rsidRPr="00CB1BCD">
        <w:rPr>
          <w:rFonts w:cs="Times New Roman"/>
          <w:lang w:val="en-US"/>
        </w:rPr>
        <w:t xml:space="preserve">Cornevin, A., Corrales, J. S., &amp; Mojica, J. P. A. (2024). Do tax revenues track economic growth? Comparing panel data estimators. </w:t>
      </w:r>
      <w:r w:rsidRPr="00CB1BCD">
        <w:rPr>
          <w:rFonts w:cs="Times New Roman"/>
          <w:i/>
          <w:iCs/>
          <w:lang w:val="en-US"/>
        </w:rPr>
        <w:t>Economic Modelling, 140</w:t>
      </w:r>
      <w:r w:rsidRPr="00CB1BCD">
        <w:rPr>
          <w:rFonts w:cs="Times New Roman"/>
          <w:lang w:val="en-US"/>
        </w:rPr>
        <w:t xml:space="preserve">, Article 106867. </w:t>
      </w:r>
      <w:hyperlink r:id="rId25" w:tgtFrame="_new" w:history="1">
        <w:r w:rsidRPr="00CB1BCD">
          <w:rPr>
            <w:rStyle w:val="Hipervnculo"/>
            <w:rFonts w:cs="Times New Roman"/>
            <w:lang w:val="en-US"/>
          </w:rPr>
          <w:t>https://doi.org/10.1016/j.econmod.2024.106867</w:t>
        </w:r>
      </w:hyperlink>
    </w:p>
    <w:p w14:paraId="35011EE9" w14:textId="77777777" w:rsidR="005755FF" w:rsidRPr="00CB1BCD" w:rsidRDefault="005755FF" w:rsidP="001C71C2">
      <w:pPr>
        <w:widowControl w:val="0"/>
        <w:autoSpaceDE w:val="0"/>
        <w:autoSpaceDN w:val="0"/>
        <w:adjustRightInd w:val="0"/>
        <w:ind w:left="340" w:hanging="340"/>
        <w:rPr>
          <w:rFonts w:cs="Times New Roman"/>
          <w:lang w:val="es-MX"/>
        </w:rPr>
      </w:pPr>
      <w:proofErr w:type="spellStart"/>
      <w:r w:rsidRPr="00CB1BCD">
        <w:rPr>
          <w:rFonts w:cs="Times New Roman"/>
          <w:lang w:val="en-US"/>
        </w:rPr>
        <w:t>Cullenward</w:t>
      </w:r>
      <w:proofErr w:type="spellEnd"/>
      <w:r w:rsidRPr="00CB1BCD">
        <w:rPr>
          <w:rFonts w:cs="Times New Roman"/>
          <w:lang w:val="en-US"/>
        </w:rPr>
        <w:t xml:space="preserve">, D., Wilkerson, J. T., Wara, M., &amp; Weyant, J. P. (2016). Dynamically estimating the distributional impacts of U.S. climate policy with NEMS: A case study of the Climate Protection Act of 2013. </w:t>
      </w:r>
      <w:r w:rsidRPr="00CB1BCD">
        <w:rPr>
          <w:rFonts w:cs="Times New Roman"/>
          <w:i/>
          <w:iCs/>
          <w:lang w:val="es-MX"/>
        </w:rPr>
        <w:t>Energy Economics, 55</w:t>
      </w:r>
      <w:r w:rsidRPr="00CB1BCD">
        <w:rPr>
          <w:rFonts w:cs="Times New Roman"/>
          <w:lang w:val="es-MX"/>
        </w:rPr>
        <w:t>, 303–318. https://doi.org/10.1016/j.eneco.2016.02.021</w:t>
      </w:r>
    </w:p>
    <w:p w14:paraId="070BB2A8" w14:textId="77777777" w:rsidR="005755FF" w:rsidRPr="00CB1BCD" w:rsidRDefault="005755FF" w:rsidP="001C71C2">
      <w:pPr>
        <w:widowControl w:val="0"/>
        <w:autoSpaceDE w:val="0"/>
        <w:autoSpaceDN w:val="0"/>
        <w:adjustRightInd w:val="0"/>
        <w:ind w:left="340" w:hanging="340"/>
        <w:rPr>
          <w:rFonts w:cs="Times New Roman"/>
          <w:lang w:val="en-US"/>
        </w:rPr>
      </w:pPr>
      <w:r w:rsidRPr="00CB1BCD">
        <w:rPr>
          <w:rFonts w:cs="Times New Roman"/>
          <w:lang w:val="es-MX"/>
        </w:rPr>
        <w:t xml:space="preserve">Fendrich, A. N., Barretto, A., Sparovek, G., Gianetti, G. W., Ferreira, J. da L., Souza Filho, C. F. M. de, Appy, B., Guedes, C. M. G. de, &amp; Leitão, S. (2022). </w:t>
      </w:r>
      <w:r w:rsidRPr="00CB1BCD">
        <w:rPr>
          <w:rFonts w:cs="Times New Roman"/>
          <w:lang w:val="en-US"/>
        </w:rPr>
        <w:t xml:space="preserve">Taxation aiming environmental protection: The case of Brazilian Rural Land Tax. </w:t>
      </w:r>
      <w:r w:rsidRPr="00CB1BCD">
        <w:rPr>
          <w:rFonts w:cs="Times New Roman"/>
          <w:i/>
          <w:iCs/>
          <w:lang w:val="en-US"/>
        </w:rPr>
        <w:t>Land Use Policy, 119</w:t>
      </w:r>
      <w:r w:rsidRPr="00CB1BCD">
        <w:rPr>
          <w:rFonts w:cs="Times New Roman"/>
          <w:lang w:val="en-US"/>
        </w:rPr>
        <w:t>, Article 106164. https://doi.org/10.1016/j.landusepol.2022.106164</w:t>
      </w:r>
    </w:p>
    <w:p w14:paraId="66D17A9F" w14:textId="77777777" w:rsidR="005755FF" w:rsidRPr="00CB1BCD" w:rsidRDefault="005755FF" w:rsidP="001C71C2">
      <w:pPr>
        <w:widowControl w:val="0"/>
        <w:autoSpaceDE w:val="0"/>
        <w:autoSpaceDN w:val="0"/>
        <w:adjustRightInd w:val="0"/>
        <w:ind w:left="340" w:hanging="340"/>
        <w:rPr>
          <w:rFonts w:cs="Times New Roman"/>
          <w:lang w:val="en-US"/>
        </w:rPr>
      </w:pPr>
      <w:r w:rsidRPr="00CB1BCD">
        <w:rPr>
          <w:rFonts w:cs="Times New Roman"/>
          <w:lang w:val="en-US"/>
        </w:rPr>
        <w:t xml:space="preserve">Fullerton, D., &amp; Kim, S. R. (2008). Environmental investment and policy with distortionary taxes, and endogenous growth. </w:t>
      </w:r>
      <w:r w:rsidRPr="00CB1BCD">
        <w:rPr>
          <w:rFonts w:cs="Times New Roman"/>
          <w:i/>
          <w:iCs/>
          <w:lang w:val="en-US"/>
        </w:rPr>
        <w:t>Journal of Environmental Economics and Management, 56</w:t>
      </w:r>
      <w:r w:rsidRPr="00CB1BCD">
        <w:rPr>
          <w:rFonts w:cs="Times New Roman"/>
          <w:lang w:val="en-US"/>
        </w:rPr>
        <w:t>(2), 141–154. https://doi.org/10.1016/j.jeem.2008.02.001</w:t>
      </w:r>
    </w:p>
    <w:p w14:paraId="0D5A0A52" w14:textId="77777777" w:rsidR="005755FF" w:rsidRPr="00CB1BCD" w:rsidRDefault="005755FF" w:rsidP="001C71C2">
      <w:pPr>
        <w:widowControl w:val="0"/>
        <w:autoSpaceDE w:val="0"/>
        <w:autoSpaceDN w:val="0"/>
        <w:adjustRightInd w:val="0"/>
        <w:ind w:left="340" w:hanging="340"/>
        <w:rPr>
          <w:rFonts w:cs="Times New Roman"/>
          <w:lang w:val="en-US"/>
        </w:rPr>
      </w:pPr>
      <w:r w:rsidRPr="00CB1BCD">
        <w:rPr>
          <w:rFonts w:cs="Times New Roman"/>
          <w:lang w:val="en-US"/>
        </w:rPr>
        <w:t xml:space="preserve">Kalkuhl, M., Steckel, J. C., &amp; Edenhofer, O. (2020). All or nothing: Climate policy when assets can become stranded. </w:t>
      </w:r>
      <w:r w:rsidRPr="00CB1BCD">
        <w:rPr>
          <w:rFonts w:cs="Times New Roman"/>
          <w:i/>
          <w:iCs/>
          <w:lang w:val="en-US"/>
        </w:rPr>
        <w:t>Journal of Environmental Economics and Management, 100</w:t>
      </w:r>
      <w:r w:rsidRPr="00CB1BCD">
        <w:rPr>
          <w:rFonts w:cs="Times New Roman"/>
          <w:lang w:val="en-US"/>
        </w:rPr>
        <w:t>, Article 102214. https://doi.org/10.1016/j.jeem.2019.01.012</w:t>
      </w:r>
    </w:p>
    <w:p w14:paraId="524A961F" w14:textId="77777777" w:rsidR="005755FF" w:rsidRPr="00CB1BCD" w:rsidRDefault="005755FF" w:rsidP="001C71C2">
      <w:pPr>
        <w:widowControl w:val="0"/>
        <w:autoSpaceDE w:val="0"/>
        <w:autoSpaceDN w:val="0"/>
        <w:adjustRightInd w:val="0"/>
        <w:ind w:left="340" w:hanging="340"/>
        <w:rPr>
          <w:rFonts w:cs="Times New Roman"/>
          <w:lang w:val="en-US"/>
        </w:rPr>
      </w:pPr>
      <w:r w:rsidRPr="00CB1BCD">
        <w:rPr>
          <w:rFonts w:cs="Times New Roman"/>
          <w:lang w:val="en-US"/>
        </w:rPr>
        <w:t xml:space="preserve">Laffer, A. B. (2004, June 1). </w:t>
      </w:r>
      <w:r w:rsidRPr="00CB1BCD">
        <w:rPr>
          <w:rFonts w:cs="Times New Roman"/>
          <w:i/>
          <w:iCs/>
          <w:lang w:val="en-US"/>
        </w:rPr>
        <w:t>The Laffer curve: Past, present, and future</w:t>
      </w:r>
      <w:r w:rsidRPr="00CB1BCD">
        <w:rPr>
          <w:rFonts w:cs="Times New Roman"/>
          <w:lang w:val="en-US"/>
        </w:rPr>
        <w:t xml:space="preserve"> (Backgrounder No. 1765). The Heritage Foundation. </w:t>
      </w:r>
      <w:hyperlink r:id="rId26" w:tgtFrame="_new" w:history="1">
        <w:r w:rsidRPr="00CB1BCD">
          <w:rPr>
            <w:rStyle w:val="Hipervnculo"/>
            <w:rFonts w:cs="Times New Roman"/>
            <w:lang w:val="en-US"/>
          </w:rPr>
          <w:t>https://www.heritage.org/taxes/report/the-laffer-curve-past-present-and-future</w:t>
        </w:r>
      </w:hyperlink>
    </w:p>
    <w:p w14:paraId="126E1528" w14:textId="77777777" w:rsidR="005755FF" w:rsidRPr="00CB1BCD" w:rsidRDefault="005755FF" w:rsidP="001C71C2">
      <w:pPr>
        <w:widowControl w:val="0"/>
        <w:autoSpaceDE w:val="0"/>
        <w:autoSpaceDN w:val="0"/>
        <w:adjustRightInd w:val="0"/>
        <w:ind w:left="340" w:hanging="340"/>
        <w:rPr>
          <w:rFonts w:cs="Times New Roman"/>
          <w:lang w:val="en-US"/>
        </w:rPr>
      </w:pPr>
      <w:r w:rsidRPr="00CB1BCD">
        <w:rPr>
          <w:rFonts w:cs="Times New Roman"/>
          <w:lang w:val="en-US"/>
        </w:rPr>
        <w:t xml:space="preserve">Metcalf, G. E. (2009). Designing a carbon tax to reduce U.S. greenhouse gas emissions. </w:t>
      </w:r>
      <w:r w:rsidRPr="00CB1BCD">
        <w:rPr>
          <w:rFonts w:cs="Times New Roman"/>
          <w:i/>
          <w:iCs/>
          <w:lang w:val="en-US"/>
        </w:rPr>
        <w:t>Review of Environmental Economics and Policy, 3</w:t>
      </w:r>
      <w:r w:rsidRPr="00CB1BCD">
        <w:rPr>
          <w:rFonts w:cs="Times New Roman"/>
          <w:lang w:val="en-US"/>
        </w:rPr>
        <w:t xml:space="preserve">(1), 63–83. </w:t>
      </w:r>
      <w:hyperlink r:id="rId27" w:tgtFrame="_new" w:history="1">
        <w:r w:rsidRPr="00CB1BCD">
          <w:rPr>
            <w:rStyle w:val="Hipervnculo"/>
            <w:rFonts w:cs="Times New Roman"/>
            <w:lang w:val="en-US"/>
          </w:rPr>
          <w:t>https://doi.org/10.1093/reep/ren015</w:t>
        </w:r>
      </w:hyperlink>
    </w:p>
    <w:p w14:paraId="242E569B" w14:textId="77777777" w:rsidR="005755FF" w:rsidRPr="00CB1BCD" w:rsidRDefault="005755FF" w:rsidP="001C71C2">
      <w:pPr>
        <w:widowControl w:val="0"/>
        <w:autoSpaceDE w:val="0"/>
        <w:autoSpaceDN w:val="0"/>
        <w:adjustRightInd w:val="0"/>
        <w:ind w:left="340" w:hanging="340"/>
        <w:rPr>
          <w:rFonts w:cs="Times New Roman"/>
          <w:lang w:val="en-US"/>
        </w:rPr>
      </w:pPr>
      <w:r w:rsidRPr="00CB1BCD">
        <w:rPr>
          <w:rFonts w:cs="Times New Roman"/>
          <w:lang w:val="es-MX"/>
        </w:rPr>
        <w:t xml:space="preserve">Pahle, M., Quemin, S., Osorio, S., Günther, C., &amp; Pietzcker, R. C. (2025). </w:t>
      </w:r>
      <w:r w:rsidRPr="00CB1BCD">
        <w:rPr>
          <w:rFonts w:cs="Times New Roman"/>
          <w:lang w:val="en-US"/>
        </w:rPr>
        <w:t xml:space="preserve">The emerging endgame: The EU ETS on the road towards climate neutrality. </w:t>
      </w:r>
      <w:r w:rsidRPr="00CB1BCD">
        <w:rPr>
          <w:rFonts w:cs="Times New Roman"/>
          <w:i/>
          <w:iCs/>
          <w:lang w:val="en-US"/>
        </w:rPr>
        <w:t>Resource and Energy Economics, 81</w:t>
      </w:r>
      <w:r w:rsidRPr="00CB1BCD">
        <w:rPr>
          <w:rFonts w:cs="Times New Roman"/>
          <w:lang w:val="en-US"/>
        </w:rPr>
        <w:t xml:space="preserve">, Article 101476. </w:t>
      </w:r>
      <w:hyperlink r:id="rId28" w:tgtFrame="_new" w:history="1">
        <w:r w:rsidRPr="00CB1BCD">
          <w:rPr>
            <w:rStyle w:val="Hipervnculo"/>
            <w:rFonts w:cs="Times New Roman"/>
            <w:lang w:val="en-US"/>
          </w:rPr>
          <w:t>https://doi.org/10.1016/j.reseneeco.2024.101476</w:t>
        </w:r>
      </w:hyperlink>
    </w:p>
    <w:p w14:paraId="20BD3F31" w14:textId="77777777" w:rsidR="005755FF" w:rsidRPr="00CB1BCD" w:rsidRDefault="005755FF" w:rsidP="001C71C2">
      <w:pPr>
        <w:widowControl w:val="0"/>
        <w:autoSpaceDE w:val="0"/>
        <w:autoSpaceDN w:val="0"/>
        <w:adjustRightInd w:val="0"/>
        <w:ind w:left="340" w:hanging="340"/>
        <w:rPr>
          <w:rFonts w:cs="Times New Roman"/>
          <w:lang w:val="en-US"/>
        </w:rPr>
      </w:pPr>
      <w:r w:rsidRPr="00CB1BCD">
        <w:rPr>
          <w:rFonts w:cs="Times New Roman"/>
          <w:lang w:val="en-US"/>
        </w:rPr>
        <w:t xml:space="preserve">Sanz-Sanz, J. F. (2022). A full-fledged analytical model for the Laffer curve in personal income taxation. </w:t>
      </w:r>
      <w:r w:rsidRPr="00CB1BCD">
        <w:rPr>
          <w:rFonts w:cs="Times New Roman"/>
          <w:i/>
          <w:iCs/>
          <w:lang w:val="en-US"/>
        </w:rPr>
        <w:t>Economic Analysis and Policy, 73</w:t>
      </w:r>
      <w:r w:rsidRPr="00CB1BCD">
        <w:rPr>
          <w:rFonts w:cs="Times New Roman"/>
          <w:lang w:val="en-US"/>
        </w:rPr>
        <w:t xml:space="preserve">, 795–811. </w:t>
      </w:r>
      <w:hyperlink r:id="rId29" w:tgtFrame="_new" w:history="1">
        <w:r w:rsidRPr="00CB1BCD">
          <w:rPr>
            <w:rStyle w:val="Hipervnculo"/>
            <w:rFonts w:cs="Times New Roman"/>
            <w:lang w:val="en-US"/>
          </w:rPr>
          <w:t>https://doi.org/10.1016/j.eap.2022.01.008</w:t>
        </w:r>
      </w:hyperlink>
    </w:p>
    <w:p w14:paraId="4571E7AF" w14:textId="53B86A78" w:rsidR="00C2655B" w:rsidRPr="00CB1BCD" w:rsidRDefault="005755FF" w:rsidP="001C71C2">
      <w:pPr>
        <w:widowControl w:val="0"/>
        <w:autoSpaceDE w:val="0"/>
        <w:autoSpaceDN w:val="0"/>
        <w:adjustRightInd w:val="0"/>
        <w:ind w:left="340" w:hanging="340"/>
        <w:rPr>
          <w:rFonts w:cs="Times New Roman"/>
          <w:lang w:val="es-MX"/>
        </w:rPr>
      </w:pPr>
      <w:r w:rsidRPr="00CB1BCD">
        <w:rPr>
          <w:rFonts w:cs="Times New Roman"/>
          <w:lang w:val="en-US"/>
        </w:rPr>
        <w:t xml:space="preserve">Varga, J., Roeger, W., &amp; in ’t Veld, J. (2022). E-QUEST: A multisector dynamic general equilibrium model with energy and a model-based assessment to reach the EU climate targets. </w:t>
      </w:r>
      <w:r w:rsidRPr="00CB1BCD">
        <w:rPr>
          <w:rFonts w:cs="Times New Roman"/>
          <w:i/>
          <w:iCs/>
          <w:lang w:val="es-MX"/>
        </w:rPr>
        <w:t>Economic Modelling, 114</w:t>
      </w:r>
      <w:r w:rsidRPr="00CB1BCD">
        <w:rPr>
          <w:rFonts w:cs="Times New Roman"/>
          <w:lang w:val="es-MX"/>
        </w:rPr>
        <w:t xml:space="preserve">, Article 105911. </w:t>
      </w:r>
      <w:hyperlink r:id="rId30" w:tgtFrame="_new" w:history="1">
        <w:r w:rsidRPr="00CB1BCD">
          <w:rPr>
            <w:rStyle w:val="Hipervnculo"/>
            <w:rFonts w:cs="Times New Roman"/>
            <w:lang w:val="es-MX"/>
          </w:rPr>
          <w:t>https://doi.org/10.1016/j.econmod.2022.105911</w:t>
        </w:r>
      </w:hyperlink>
    </w:p>
    <w:sectPr w:rsidR="00C2655B" w:rsidRPr="00CB1BCD" w:rsidSect="00534FA0">
      <w:footerReference w:type="default" r:id="rId31"/>
      <w:pgSz w:w="12240" w:h="15840"/>
      <w:pgMar w:top="1418" w:right="1041" w:bottom="1418" w:left="113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FFFA2" w14:textId="77777777" w:rsidR="0036076D" w:rsidRDefault="0036076D" w:rsidP="005C7C3F">
      <w:pPr>
        <w:spacing w:line="240" w:lineRule="auto"/>
      </w:pPr>
      <w:r>
        <w:separator/>
      </w:r>
    </w:p>
  </w:endnote>
  <w:endnote w:type="continuationSeparator" w:id="0">
    <w:p w14:paraId="092B48BA" w14:textId="77777777" w:rsidR="0036076D" w:rsidRDefault="0036076D" w:rsidP="005C7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9D955" w14:textId="77777777" w:rsidR="00534FA0" w:rsidRPr="00B87E1C" w:rsidRDefault="00534FA0" w:rsidP="00534FA0">
    <w:pPr>
      <w:tabs>
        <w:tab w:val="left" w:pos="3390"/>
      </w:tabs>
      <w:jc w:val="center"/>
      <w:rPr>
        <w:rFonts w:ascii="Calibri" w:hAnsi="Calibri" w:cs="Calibri"/>
      </w:rPr>
    </w:pPr>
    <w:r w:rsidRPr="00B87E1C">
      <w:rPr>
        <w:rFonts w:ascii="Calibri" w:hAnsi="Calibri" w:cs="Calibri"/>
        <w:b/>
      </w:rPr>
      <w:t>Vol. 1</w:t>
    </w:r>
    <w:r>
      <w:rPr>
        <w:rFonts w:ascii="Calibri" w:hAnsi="Calibri" w:cs="Calibri"/>
        <w:b/>
      </w:rPr>
      <w:t>3</w:t>
    </w:r>
    <w:r w:rsidRPr="00B87E1C">
      <w:rPr>
        <w:rFonts w:ascii="Calibri" w:hAnsi="Calibri" w:cs="Calibri"/>
        <w:b/>
      </w:rPr>
      <w:t>, Núm. 2</w:t>
    </w:r>
    <w:r>
      <w:rPr>
        <w:rFonts w:ascii="Calibri" w:hAnsi="Calibri" w:cs="Calibri"/>
        <w:b/>
      </w:rPr>
      <w:t>6</w:t>
    </w:r>
    <w:r w:rsidRPr="00B87E1C">
      <w:rPr>
        <w:rFonts w:ascii="Calibri" w:hAnsi="Calibri" w:cs="Calibri"/>
        <w:b/>
      </w:rPr>
      <w:t xml:space="preserve">                  </w:t>
    </w:r>
    <w:r>
      <w:rPr>
        <w:rFonts w:ascii="Calibri" w:hAnsi="Calibri" w:cs="Calibri"/>
        <w:b/>
      </w:rPr>
      <w:t>Julio</w:t>
    </w:r>
    <w:r w:rsidRPr="00B87E1C">
      <w:rPr>
        <w:rFonts w:ascii="Calibri" w:hAnsi="Calibri" w:cs="Calibri"/>
        <w:b/>
      </w:rPr>
      <w:t xml:space="preserve"> – </w:t>
    </w:r>
    <w:r>
      <w:rPr>
        <w:rFonts w:ascii="Calibri" w:hAnsi="Calibri" w:cs="Calibri"/>
        <w:b/>
      </w:rPr>
      <w:t>diciembre</w:t>
    </w:r>
    <w:r w:rsidRPr="00B87E1C">
      <w:rPr>
        <w:rFonts w:ascii="Calibri" w:hAnsi="Calibri" w:cs="Calibri"/>
        <w:b/>
      </w:rPr>
      <w:t xml:space="preserve"> 202</w:t>
    </w:r>
    <w:r>
      <w:rPr>
        <w:rFonts w:ascii="Calibri" w:hAnsi="Calibri" w:cs="Calibri"/>
        <w:b/>
      </w:rPr>
      <w:t>6</w:t>
    </w:r>
    <w:r w:rsidRPr="00B87E1C">
      <w:rPr>
        <w:rFonts w:ascii="Calibri" w:hAnsi="Calibri" w:cs="Calibri"/>
        <w:b/>
      </w:rPr>
      <w:t xml:space="preserve">                        ISSN: 2448 – 6493</w:t>
    </w:r>
  </w:p>
  <w:p w14:paraId="50655AD8" w14:textId="77777777" w:rsidR="00534FA0" w:rsidRDefault="00534F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32EE0" w14:textId="77777777" w:rsidR="0036076D" w:rsidRDefault="0036076D" w:rsidP="005C7C3F">
      <w:pPr>
        <w:spacing w:line="240" w:lineRule="auto"/>
      </w:pPr>
      <w:r>
        <w:separator/>
      </w:r>
    </w:p>
  </w:footnote>
  <w:footnote w:type="continuationSeparator" w:id="0">
    <w:p w14:paraId="5559B04A" w14:textId="77777777" w:rsidR="0036076D" w:rsidRDefault="0036076D" w:rsidP="005C7C3F">
      <w:pPr>
        <w:spacing w:line="240" w:lineRule="auto"/>
      </w:pPr>
      <w:r>
        <w:continuationSeparator/>
      </w:r>
    </w:p>
  </w:footnote>
  <w:footnote w:id="1">
    <w:p w14:paraId="28B4BD9E" w14:textId="187E8304" w:rsidR="0092552E" w:rsidRPr="0092552E" w:rsidRDefault="0092552E">
      <w:pPr>
        <w:pStyle w:val="Textonotapie"/>
        <w:rPr>
          <w:sz w:val="14"/>
          <w:szCs w:val="14"/>
          <w:lang w:val="es-MX"/>
        </w:rPr>
      </w:pPr>
      <w:r w:rsidRPr="00956B0C">
        <w:rPr>
          <w:rStyle w:val="Refdenotaalpie"/>
          <w:sz w:val="14"/>
          <w:szCs w:val="14"/>
        </w:rPr>
        <w:footnoteRef/>
      </w:r>
      <w:r w:rsidRPr="00956B0C">
        <w:rPr>
          <w:sz w:val="14"/>
          <w:szCs w:val="14"/>
        </w:rPr>
        <w:t xml:space="preserve"> En este estudio, el bienestar parcial se define como </w:t>
      </w:r>
      <m:oMath>
        <m:r>
          <m:rPr>
            <m:sty m:val="p"/>
          </m:rPr>
          <w:rPr>
            <w:rFonts w:ascii="Cambria Math" w:hAnsi="Cambria Math"/>
            <w:sz w:val="14"/>
            <w:szCs w:val="14"/>
          </w:rPr>
          <m:t>Δ</m:t>
        </m:r>
        <m:sSub>
          <m:sSubPr>
            <m:ctrlPr>
              <w:rPr>
                <w:rFonts w:ascii="Cambria Math" w:hAnsi="Cambria Math"/>
                <w:sz w:val="14"/>
                <w:szCs w:val="14"/>
              </w:rPr>
            </m:ctrlPr>
          </m:sSubPr>
          <m:e>
            <m:r>
              <w:rPr>
                <w:rFonts w:ascii="Cambria Math" w:hAnsi="Cambria Math"/>
                <w:sz w:val="14"/>
                <w:szCs w:val="14"/>
              </w:rPr>
              <m:t>W</m:t>
            </m:r>
          </m:e>
          <m:sub>
            <m:r>
              <w:rPr>
                <w:rFonts w:ascii="Cambria Math" w:hAnsi="Cambria Math"/>
                <w:sz w:val="14"/>
                <w:szCs w:val="14"/>
              </w:rPr>
              <m:t>s</m:t>
            </m:r>
          </m:sub>
        </m:sSub>
        <m:r>
          <w:rPr>
            <w:rFonts w:ascii="Cambria Math" w:hAnsi="Cambria Math"/>
            <w:sz w:val="14"/>
            <w:szCs w:val="14"/>
          </w:rPr>
          <m:t>=B</m:t>
        </m:r>
        <m:sSub>
          <m:sSubPr>
            <m:ctrlPr>
              <w:rPr>
                <w:rFonts w:ascii="Cambria Math" w:hAnsi="Cambria Math"/>
                <w:sz w:val="14"/>
                <w:szCs w:val="14"/>
              </w:rPr>
            </m:ctrlPr>
          </m:sSubPr>
          <m:e>
            <m:r>
              <w:rPr>
                <w:rFonts w:ascii="Cambria Math" w:hAnsi="Cambria Math"/>
                <w:sz w:val="14"/>
                <w:szCs w:val="14"/>
              </w:rPr>
              <m:t>A</m:t>
            </m:r>
          </m:e>
          <m:sub>
            <m:r>
              <w:rPr>
                <w:rFonts w:ascii="Cambria Math" w:hAnsi="Cambria Math"/>
                <w:sz w:val="14"/>
                <w:szCs w:val="14"/>
              </w:rPr>
              <m:t>s</m:t>
            </m:r>
          </m:sub>
        </m:sSub>
        <m:r>
          <w:rPr>
            <w:rFonts w:ascii="Cambria Math" w:hAnsi="Cambria Math"/>
            <w:sz w:val="14"/>
            <w:szCs w:val="14"/>
          </w:rPr>
          <m:t>+ρ</m:t>
        </m:r>
        <m:sSub>
          <m:sSubPr>
            <m:ctrlPr>
              <w:rPr>
                <w:rFonts w:ascii="Cambria Math" w:hAnsi="Cambria Math"/>
                <w:sz w:val="14"/>
                <w:szCs w:val="14"/>
              </w:rPr>
            </m:ctrlPr>
          </m:sSubPr>
          <m:e>
            <m:r>
              <w:rPr>
                <w:rFonts w:ascii="Cambria Math" w:hAnsi="Cambria Math"/>
                <w:sz w:val="14"/>
                <w:szCs w:val="14"/>
              </w:rPr>
              <m:t>R</m:t>
            </m:r>
          </m:e>
          <m:sub>
            <m:r>
              <w:rPr>
                <w:rFonts w:ascii="Cambria Math" w:hAnsi="Cambria Math"/>
                <w:sz w:val="14"/>
                <w:szCs w:val="14"/>
              </w:rPr>
              <m:t>s</m:t>
            </m:r>
          </m:sub>
        </m:sSub>
        <m:r>
          <w:rPr>
            <w:rFonts w:ascii="Cambria Math" w:hAnsi="Cambria Math"/>
            <w:sz w:val="14"/>
            <w:szCs w:val="14"/>
          </w:rPr>
          <m:t>-C</m:t>
        </m:r>
        <m:sSub>
          <m:sSubPr>
            <m:ctrlPr>
              <w:rPr>
                <w:rFonts w:ascii="Cambria Math" w:hAnsi="Cambria Math"/>
                <w:sz w:val="14"/>
                <w:szCs w:val="14"/>
              </w:rPr>
            </m:ctrlPr>
          </m:sSubPr>
          <m:e>
            <m:r>
              <w:rPr>
                <w:rFonts w:ascii="Cambria Math" w:hAnsi="Cambria Math"/>
                <w:sz w:val="14"/>
                <w:szCs w:val="14"/>
              </w:rPr>
              <m:t>A</m:t>
            </m:r>
          </m:e>
          <m:sub>
            <m:r>
              <w:rPr>
                <w:rFonts w:ascii="Cambria Math" w:hAnsi="Cambria Math"/>
                <w:sz w:val="14"/>
                <w:szCs w:val="14"/>
              </w:rPr>
              <m:t>s</m:t>
            </m:r>
          </m:sub>
        </m:sSub>
      </m:oMath>
      <w:r w:rsidRPr="00956B0C">
        <w:rPr>
          <w:sz w:val="14"/>
          <w:szCs w:val="14"/>
        </w:rPr>
        <w:t xml:space="preserve">, donde </w:t>
      </w:r>
      <m:oMath>
        <m:r>
          <w:rPr>
            <w:rFonts w:ascii="Cambria Math" w:hAnsi="Cambria Math"/>
            <w:sz w:val="14"/>
            <w:szCs w:val="14"/>
          </w:rPr>
          <m:t>B</m:t>
        </m:r>
        <m:sSub>
          <m:sSubPr>
            <m:ctrlPr>
              <w:rPr>
                <w:rFonts w:ascii="Cambria Math" w:hAnsi="Cambria Math"/>
                <w:sz w:val="14"/>
                <w:szCs w:val="14"/>
              </w:rPr>
            </m:ctrlPr>
          </m:sSubPr>
          <m:e>
            <m:r>
              <w:rPr>
                <w:rFonts w:ascii="Cambria Math" w:hAnsi="Cambria Math"/>
                <w:sz w:val="14"/>
                <w:szCs w:val="14"/>
              </w:rPr>
              <m:t>A</m:t>
            </m:r>
          </m:e>
          <m:sub>
            <m:r>
              <w:rPr>
                <w:rFonts w:ascii="Cambria Math" w:hAnsi="Cambria Math"/>
                <w:sz w:val="14"/>
                <w:szCs w:val="14"/>
              </w:rPr>
              <m:t>s</m:t>
            </m:r>
          </m:sub>
        </m:sSub>
      </m:oMath>
      <w:r w:rsidRPr="00956B0C">
        <w:rPr>
          <w:rFonts w:eastAsiaTheme="minorEastAsia"/>
          <w:sz w:val="14"/>
          <w:szCs w:val="14"/>
        </w:rPr>
        <w:t xml:space="preserve"> </w:t>
      </w:r>
      <w:r w:rsidRPr="00956B0C">
        <w:rPr>
          <w:sz w:val="14"/>
          <w:szCs w:val="14"/>
        </w:rPr>
        <w:t xml:space="preserve">es el beneficio ambiental monetizado por emisiones evitadas, </w:t>
      </w:r>
      <m:oMath>
        <m:r>
          <w:rPr>
            <w:rFonts w:ascii="Cambria Math" w:hAnsi="Cambria Math"/>
            <w:sz w:val="14"/>
            <w:szCs w:val="14"/>
          </w:rPr>
          <m:t>C</m:t>
        </m:r>
        <m:sSub>
          <m:sSubPr>
            <m:ctrlPr>
              <w:rPr>
                <w:rFonts w:ascii="Cambria Math" w:hAnsi="Cambria Math"/>
                <w:sz w:val="14"/>
                <w:szCs w:val="14"/>
              </w:rPr>
            </m:ctrlPr>
          </m:sSubPr>
          <m:e>
            <m:r>
              <w:rPr>
                <w:rFonts w:ascii="Cambria Math" w:hAnsi="Cambria Math"/>
                <w:sz w:val="14"/>
                <w:szCs w:val="14"/>
              </w:rPr>
              <m:t>A</m:t>
            </m:r>
          </m:e>
          <m:sub>
            <m:r>
              <w:rPr>
                <w:rFonts w:ascii="Cambria Math" w:hAnsi="Cambria Math"/>
                <w:sz w:val="14"/>
                <w:szCs w:val="14"/>
              </w:rPr>
              <m:t>s</m:t>
            </m:r>
          </m:sub>
        </m:sSub>
      </m:oMath>
      <w:r w:rsidRPr="00956B0C">
        <w:rPr>
          <w:rFonts w:eastAsiaTheme="minorEastAsia"/>
          <w:sz w:val="14"/>
          <w:szCs w:val="14"/>
        </w:rPr>
        <w:t xml:space="preserve"> </w:t>
      </w:r>
      <w:r w:rsidRPr="00956B0C">
        <w:rPr>
          <w:sz w:val="14"/>
          <w:szCs w:val="14"/>
        </w:rPr>
        <w:t xml:space="preserve">el costo aproximado de abatimiento y </w:t>
      </w:r>
      <m:oMath>
        <m:r>
          <w:rPr>
            <w:rFonts w:ascii="Cambria Math" w:hAnsi="Cambria Math"/>
            <w:sz w:val="14"/>
            <w:szCs w:val="14"/>
          </w:rPr>
          <m:t>ρ</m:t>
        </m:r>
        <m:sSub>
          <m:sSubPr>
            <m:ctrlPr>
              <w:rPr>
                <w:rFonts w:ascii="Cambria Math" w:hAnsi="Cambria Math"/>
                <w:sz w:val="14"/>
                <w:szCs w:val="14"/>
              </w:rPr>
            </m:ctrlPr>
          </m:sSubPr>
          <m:e>
            <m:r>
              <w:rPr>
                <w:rFonts w:ascii="Cambria Math" w:hAnsi="Cambria Math"/>
                <w:sz w:val="14"/>
                <w:szCs w:val="14"/>
              </w:rPr>
              <m:t>R</m:t>
            </m:r>
          </m:e>
          <m:sub>
            <m:r>
              <w:rPr>
                <w:rFonts w:ascii="Cambria Math" w:hAnsi="Cambria Math"/>
                <w:sz w:val="14"/>
                <w:szCs w:val="14"/>
              </w:rPr>
              <m:t>s</m:t>
            </m:r>
          </m:sub>
        </m:sSub>
      </m:oMath>
      <w:r w:rsidRPr="00956B0C">
        <w:rPr>
          <w:rFonts w:eastAsiaTheme="minorEastAsia"/>
          <w:sz w:val="14"/>
          <w:szCs w:val="14"/>
        </w:rPr>
        <w:t xml:space="preserve"> </w:t>
      </w:r>
      <w:r w:rsidRPr="00956B0C">
        <w:rPr>
          <w:sz w:val="14"/>
          <w:szCs w:val="14"/>
        </w:rPr>
        <w:t xml:space="preserve">la </w:t>
      </w:r>
      <w:r w:rsidR="007E585F" w:rsidRPr="00956B0C">
        <w:rPr>
          <w:sz w:val="14"/>
          <w:szCs w:val="14"/>
        </w:rPr>
        <w:t>recaudación reciclada efectiva</w:t>
      </w:r>
      <w:r w:rsidRPr="00956B0C">
        <w:rPr>
          <w:sz w:val="14"/>
          <w:szCs w:val="14"/>
        </w:rPr>
        <w:t>.</w:t>
      </w:r>
    </w:p>
  </w:footnote>
  <w:footnote w:id="2">
    <w:p w14:paraId="0DA45DD7" w14:textId="09607E7C" w:rsidR="006B2082" w:rsidRPr="006B2082" w:rsidRDefault="006B2082">
      <w:pPr>
        <w:pStyle w:val="Textonotapie"/>
        <w:rPr>
          <w:sz w:val="14"/>
          <w:szCs w:val="14"/>
          <w:lang w:val="es-MX"/>
        </w:rPr>
      </w:pPr>
      <w:r w:rsidRPr="00956B0C">
        <w:rPr>
          <w:rStyle w:val="Refdenotaalpie"/>
          <w:sz w:val="14"/>
          <w:szCs w:val="14"/>
        </w:rPr>
        <w:footnoteRef/>
      </w:r>
      <w:r w:rsidRPr="00956B0C">
        <w:rPr>
          <w:sz w:val="14"/>
          <w:szCs w:val="14"/>
        </w:rPr>
        <w:t xml:space="preserve"> </w:t>
      </w:r>
      <w:r w:rsidRPr="00956B0C">
        <w:rPr>
          <w:sz w:val="14"/>
          <w:szCs w:val="14"/>
          <w:lang w:val="es-MX"/>
        </w:rPr>
        <w:t>Este valor no representa una observación directa de emisiones gravadas, sino una base contaminante implícita derivada del escenario de calibración.</w:t>
      </w:r>
    </w:p>
  </w:footnote>
  <w:footnote w:id="3">
    <w:p w14:paraId="60F36C34" w14:textId="1CF3C669" w:rsidR="00E717A8" w:rsidRPr="00E717A8" w:rsidRDefault="00E717A8">
      <w:pPr>
        <w:pStyle w:val="Textonotapie"/>
        <w:rPr>
          <w:sz w:val="14"/>
          <w:szCs w:val="14"/>
          <w:lang w:val="es-MX"/>
        </w:rPr>
      </w:pPr>
      <w:r w:rsidRPr="00956B0C">
        <w:rPr>
          <w:rStyle w:val="Refdenotaalpie"/>
          <w:sz w:val="14"/>
          <w:szCs w:val="14"/>
        </w:rPr>
        <w:footnoteRef/>
      </w:r>
      <w:r w:rsidRPr="00956B0C">
        <w:rPr>
          <w:sz w:val="14"/>
          <w:szCs w:val="14"/>
        </w:rPr>
        <w:t xml:space="preserve"> </w:t>
      </w:r>
      <w:r w:rsidRPr="00956B0C">
        <w:rPr>
          <w:sz w:val="14"/>
          <w:szCs w:val="14"/>
          <w:lang w:val="es-MX"/>
        </w:rPr>
        <w:t>El indicador se interpreta como una medida parcial del resultado neto de la simulación, acotado a los componentes definidos en el modelo.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BA24BA"/>
    <w:multiLevelType w:val="hybridMultilevel"/>
    <w:tmpl w:val="77AC6DEE"/>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16cid:durableId="1722711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BAE"/>
    <w:rsid w:val="00004D85"/>
    <w:rsid w:val="00032283"/>
    <w:rsid w:val="00050D78"/>
    <w:rsid w:val="000545A2"/>
    <w:rsid w:val="0006061A"/>
    <w:rsid w:val="00064FB7"/>
    <w:rsid w:val="0008480C"/>
    <w:rsid w:val="00097639"/>
    <w:rsid w:val="000B336E"/>
    <w:rsid w:val="000D5A3D"/>
    <w:rsid w:val="000E5C60"/>
    <w:rsid w:val="000E6915"/>
    <w:rsid w:val="0010290C"/>
    <w:rsid w:val="001160B8"/>
    <w:rsid w:val="00131851"/>
    <w:rsid w:val="00145EE9"/>
    <w:rsid w:val="00152866"/>
    <w:rsid w:val="00177111"/>
    <w:rsid w:val="0017759A"/>
    <w:rsid w:val="00177C2C"/>
    <w:rsid w:val="00190F95"/>
    <w:rsid w:val="00193F7E"/>
    <w:rsid w:val="001A20F8"/>
    <w:rsid w:val="001A7DE0"/>
    <w:rsid w:val="001B1029"/>
    <w:rsid w:val="001C71C2"/>
    <w:rsid w:val="001C798D"/>
    <w:rsid w:val="001C7E7D"/>
    <w:rsid w:val="001E062D"/>
    <w:rsid w:val="001E6127"/>
    <w:rsid w:val="00201BC7"/>
    <w:rsid w:val="00202C59"/>
    <w:rsid w:val="002222BC"/>
    <w:rsid w:val="00234683"/>
    <w:rsid w:val="00262549"/>
    <w:rsid w:val="00267CC6"/>
    <w:rsid w:val="00270F19"/>
    <w:rsid w:val="00282629"/>
    <w:rsid w:val="00297AB2"/>
    <w:rsid w:val="002A02FA"/>
    <w:rsid w:val="002A24E5"/>
    <w:rsid w:val="002B728F"/>
    <w:rsid w:val="002C5298"/>
    <w:rsid w:val="002D41C5"/>
    <w:rsid w:val="002D643B"/>
    <w:rsid w:val="002E59B5"/>
    <w:rsid w:val="00313DFE"/>
    <w:rsid w:val="00337BAE"/>
    <w:rsid w:val="0036076D"/>
    <w:rsid w:val="00361667"/>
    <w:rsid w:val="00367676"/>
    <w:rsid w:val="003714B2"/>
    <w:rsid w:val="00385BFA"/>
    <w:rsid w:val="00392CC0"/>
    <w:rsid w:val="00393D90"/>
    <w:rsid w:val="003A0319"/>
    <w:rsid w:val="003A49E0"/>
    <w:rsid w:val="003B7836"/>
    <w:rsid w:val="003D1894"/>
    <w:rsid w:val="00401AA7"/>
    <w:rsid w:val="00412F56"/>
    <w:rsid w:val="00420255"/>
    <w:rsid w:val="004259EF"/>
    <w:rsid w:val="004703EC"/>
    <w:rsid w:val="004B655F"/>
    <w:rsid w:val="004C664A"/>
    <w:rsid w:val="004E1D84"/>
    <w:rsid w:val="004E7979"/>
    <w:rsid w:val="004F491E"/>
    <w:rsid w:val="00526B8E"/>
    <w:rsid w:val="00534FA0"/>
    <w:rsid w:val="00550160"/>
    <w:rsid w:val="00557CF6"/>
    <w:rsid w:val="005755FF"/>
    <w:rsid w:val="005A7A4F"/>
    <w:rsid w:val="005B1048"/>
    <w:rsid w:val="005C7C3F"/>
    <w:rsid w:val="005D114E"/>
    <w:rsid w:val="005D4E0A"/>
    <w:rsid w:val="005D5532"/>
    <w:rsid w:val="005E3E0B"/>
    <w:rsid w:val="00607595"/>
    <w:rsid w:val="00615272"/>
    <w:rsid w:val="00621673"/>
    <w:rsid w:val="00622B51"/>
    <w:rsid w:val="00632FBD"/>
    <w:rsid w:val="00641A2B"/>
    <w:rsid w:val="00644F9A"/>
    <w:rsid w:val="006552D3"/>
    <w:rsid w:val="00672A28"/>
    <w:rsid w:val="006735A2"/>
    <w:rsid w:val="0067702E"/>
    <w:rsid w:val="00690012"/>
    <w:rsid w:val="0069509F"/>
    <w:rsid w:val="006A43C3"/>
    <w:rsid w:val="006B1064"/>
    <w:rsid w:val="006B2082"/>
    <w:rsid w:val="006B707F"/>
    <w:rsid w:val="006D036F"/>
    <w:rsid w:val="006F461A"/>
    <w:rsid w:val="00724090"/>
    <w:rsid w:val="00764031"/>
    <w:rsid w:val="00766977"/>
    <w:rsid w:val="007733F0"/>
    <w:rsid w:val="00775972"/>
    <w:rsid w:val="00790515"/>
    <w:rsid w:val="007C0ACB"/>
    <w:rsid w:val="007E585F"/>
    <w:rsid w:val="007E6DDD"/>
    <w:rsid w:val="007F09A3"/>
    <w:rsid w:val="00814B89"/>
    <w:rsid w:val="008156D3"/>
    <w:rsid w:val="00824EEE"/>
    <w:rsid w:val="00833E1B"/>
    <w:rsid w:val="00865F96"/>
    <w:rsid w:val="00866887"/>
    <w:rsid w:val="00890B2C"/>
    <w:rsid w:val="00892363"/>
    <w:rsid w:val="008A47E1"/>
    <w:rsid w:val="008B6E46"/>
    <w:rsid w:val="008F042F"/>
    <w:rsid w:val="008F0D4E"/>
    <w:rsid w:val="00911958"/>
    <w:rsid w:val="00922C55"/>
    <w:rsid w:val="0092552E"/>
    <w:rsid w:val="00931F78"/>
    <w:rsid w:val="0093210C"/>
    <w:rsid w:val="009439C1"/>
    <w:rsid w:val="00945B5E"/>
    <w:rsid w:val="00951592"/>
    <w:rsid w:val="00956B0C"/>
    <w:rsid w:val="00967382"/>
    <w:rsid w:val="00981654"/>
    <w:rsid w:val="00985532"/>
    <w:rsid w:val="009921E3"/>
    <w:rsid w:val="00993043"/>
    <w:rsid w:val="009B76FF"/>
    <w:rsid w:val="009D5B1B"/>
    <w:rsid w:val="00A1036E"/>
    <w:rsid w:val="00A141D3"/>
    <w:rsid w:val="00A162BF"/>
    <w:rsid w:val="00A17A0E"/>
    <w:rsid w:val="00A30BCE"/>
    <w:rsid w:val="00A36322"/>
    <w:rsid w:val="00A4504F"/>
    <w:rsid w:val="00A634C1"/>
    <w:rsid w:val="00A82BB6"/>
    <w:rsid w:val="00A8688F"/>
    <w:rsid w:val="00A874ED"/>
    <w:rsid w:val="00A95E30"/>
    <w:rsid w:val="00A977E0"/>
    <w:rsid w:val="00AB0E2C"/>
    <w:rsid w:val="00AD162F"/>
    <w:rsid w:val="00AD5637"/>
    <w:rsid w:val="00AE20F7"/>
    <w:rsid w:val="00AE7D95"/>
    <w:rsid w:val="00AF08C0"/>
    <w:rsid w:val="00AF409D"/>
    <w:rsid w:val="00B03B11"/>
    <w:rsid w:val="00B14E69"/>
    <w:rsid w:val="00B22FC8"/>
    <w:rsid w:val="00B3080C"/>
    <w:rsid w:val="00B43CF3"/>
    <w:rsid w:val="00B70664"/>
    <w:rsid w:val="00B92E50"/>
    <w:rsid w:val="00BA0886"/>
    <w:rsid w:val="00BA12D3"/>
    <w:rsid w:val="00BD6CBB"/>
    <w:rsid w:val="00BD7FB5"/>
    <w:rsid w:val="00BF26F4"/>
    <w:rsid w:val="00BF7823"/>
    <w:rsid w:val="00C030A4"/>
    <w:rsid w:val="00C15B1F"/>
    <w:rsid w:val="00C2655B"/>
    <w:rsid w:val="00C2678A"/>
    <w:rsid w:val="00C319B1"/>
    <w:rsid w:val="00C45B8C"/>
    <w:rsid w:val="00C503C2"/>
    <w:rsid w:val="00C512C1"/>
    <w:rsid w:val="00C6683E"/>
    <w:rsid w:val="00C67AAB"/>
    <w:rsid w:val="00C828A2"/>
    <w:rsid w:val="00CB1BCD"/>
    <w:rsid w:val="00CB38AA"/>
    <w:rsid w:val="00CD10F2"/>
    <w:rsid w:val="00CD2F19"/>
    <w:rsid w:val="00CD3EC0"/>
    <w:rsid w:val="00CE6BAB"/>
    <w:rsid w:val="00CF07AE"/>
    <w:rsid w:val="00D23D2D"/>
    <w:rsid w:val="00D77B75"/>
    <w:rsid w:val="00D81DB0"/>
    <w:rsid w:val="00D86812"/>
    <w:rsid w:val="00D97380"/>
    <w:rsid w:val="00DA2628"/>
    <w:rsid w:val="00DA3707"/>
    <w:rsid w:val="00DB497E"/>
    <w:rsid w:val="00DB5276"/>
    <w:rsid w:val="00DC018E"/>
    <w:rsid w:val="00DC47AB"/>
    <w:rsid w:val="00DD1F53"/>
    <w:rsid w:val="00DE64C0"/>
    <w:rsid w:val="00E23D11"/>
    <w:rsid w:val="00E30809"/>
    <w:rsid w:val="00E35AC4"/>
    <w:rsid w:val="00E36FC8"/>
    <w:rsid w:val="00E577E5"/>
    <w:rsid w:val="00E717A8"/>
    <w:rsid w:val="00E77360"/>
    <w:rsid w:val="00E97B70"/>
    <w:rsid w:val="00EA1F82"/>
    <w:rsid w:val="00EA3573"/>
    <w:rsid w:val="00EA482C"/>
    <w:rsid w:val="00EA4911"/>
    <w:rsid w:val="00ED09B6"/>
    <w:rsid w:val="00F046E5"/>
    <w:rsid w:val="00F118FB"/>
    <w:rsid w:val="00F213DA"/>
    <w:rsid w:val="00F24F0D"/>
    <w:rsid w:val="00F27BE5"/>
    <w:rsid w:val="00F61770"/>
    <w:rsid w:val="00F6401F"/>
    <w:rsid w:val="00F66494"/>
    <w:rsid w:val="00F66FCA"/>
    <w:rsid w:val="00F700C5"/>
    <w:rsid w:val="00F819F0"/>
    <w:rsid w:val="00FB1E80"/>
    <w:rsid w:val="00FB5832"/>
    <w:rsid w:val="00FD4844"/>
    <w:rsid w:val="00FE6E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2B5E1"/>
  <w15:chartTrackingRefBased/>
  <w15:docId w15:val="{967A9079-87C8-4D50-BF4F-7D2A94A7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5A2"/>
    <w:pPr>
      <w:spacing w:line="360" w:lineRule="auto"/>
    </w:pPr>
    <w:rPr>
      <w:rFonts w:ascii="Times New Roman" w:hAnsi="Times New Roman"/>
      <w:lang w:val="es-ES"/>
    </w:rPr>
  </w:style>
  <w:style w:type="paragraph" w:styleId="Ttulo1">
    <w:name w:val="heading 1"/>
    <w:basedOn w:val="Normal"/>
    <w:next w:val="Normal"/>
    <w:link w:val="Ttulo1Car"/>
    <w:uiPriority w:val="9"/>
    <w:qFormat/>
    <w:rsid w:val="000545A2"/>
    <w:pPr>
      <w:keepNext/>
      <w:keepLines/>
      <w:spacing w:line="276" w:lineRule="auto"/>
      <w:outlineLvl w:val="0"/>
    </w:pPr>
    <w:rPr>
      <w:rFonts w:eastAsiaTheme="majorEastAsia" w:cstheme="majorBidi"/>
      <w:color w:val="00B050"/>
      <w:sz w:val="28"/>
      <w:szCs w:val="28"/>
    </w:rPr>
  </w:style>
  <w:style w:type="paragraph" w:styleId="Ttulo2">
    <w:name w:val="heading 2"/>
    <w:basedOn w:val="Normal"/>
    <w:next w:val="Normal"/>
    <w:link w:val="Ttulo2Car"/>
    <w:uiPriority w:val="9"/>
    <w:unhideWhenUsed/>
    <w:qFormat/>
    <w:rsid w:val="00607595"/>
    <w:pPr>
      <w:keepNext/>
      <w:keepLines/>
      <w:spacing w:line="276" w:lineRule="auto"/>
      <w:outlineLvl w:val="1"/>
    </w:pPr>
    <w:rPr>
      <w:rFonts w:eastAsiaTheme="majorEastAsia" w:cs="Times New Roman"/>
      <w:i/>
      <w:iCs/>
      <w:color w:val="C00000"/>
      <w:lang w:val="es-MX"/>
    </w:rPr>
  </w:style>
  <w:style w:type="paragraph" w:styleId="Ttulo3">
    <w:name w:val="heading 3"/>
    <w:basedOn w:val="Normal"/>
    <w:next w:val="Normal"/>
    <w:link w:val="Ttulo3Car"/>
    <w:uiPriority w:val="9"/>
    <w:semiHidden/>
    <w:unhideWhenUsed/>
    <w:qFormat/>
    <w:rsid w:val="00C2655B"/>
    <w:pPr>
      <w:keepNext/>
      <w:keepLines/>
      <w:spacing w:before="160" w:after="80"/>
      <w:outlineLvl w:val="2"/>
    </w:pPr>
    <w:rPr>
      <w:rFonts w:eastAsiaTheme="majorEastAsia" w:cstheme="majorBidi"/>
      <w:color w:val="276E8B" w:themeColor="accent1" w:themeShade="BF"/>
      <w:sz w:val="28"/>
      <w:szCs w:val="28"/>
    </w:rPr>
  </w:style>
  <w:style w:type="paragraph" w:styleId="Ttulo4">
    <w:name w:val="heading 4"/>
    <w:basedOn w:val="Normal"/>
    <w:next w:val="Normal"/>
    <w:link w:val="Ttulo4Car"/>
    <w:uiPriority w:val="9"/>
    <w:semiHidden/>
    <w:unhideWhenUsed/>
    <w:qFormat/>
    <w:rsid w:val="00C2655B"/>
    <w:pPr>
      <w:keepNext/>
      <w:keepLines/>
      <w:spacing w:before="80" w:after="40"/>
      <w:outlineLvl w:val="3"/>
    </w:pPr>
    <w:rPr>
      <w:rFonts w:eastAsiaTheme="majorEastAsia" w:cstheme="majorBidi"/>
      <w:i/>
      <w:iCs/>
      <w:color w:val="276E8B" w:themeColor="accent1" w:themeShade="BF"/>
    </w:rPr>
  </w:style>
  <w:style w:type="paragraph" w:styleId="Ttulo5">
    <w:name w:val="heading 5"/>
    <w:basedOn w:val="Normal"/>
    <w:next w:val="Normal"/>
    <w:link w:val="Ttulo5Car"/>
    <w:uiPriority w:val="9"/>
    <w:semiHidden/>
    <w:unhideWhenUsed/>
    <w:qFormat/>
    <w:rsid w:val="00C2655B"/>
    <w:pPr>
      <w:keepNext/>
      <w:keepLines/>
      <w:spacing w:before="80" w:after="40"/>
      <w:outlineLvl w:val="4"/>
    </w:pPr>
    <w:rPr>
      <w:rFonts w:eastAsiaTheme="majorEastAsia" w:cstheme="majorBidi"/>
      <w:color w:val="276E8B" w:themeColor="accent1" w:themeShade="BF"/>
    </w:rPr>
  </w:style>
  <w:style w:type="paragraph" w:styleId="Ttulo6">
    <w:name w:val="heading 6"/>
    <w:basedOn w:val="Normal"/>
    <w:next w:val="Normal"/>
    <w:link w:val="Ttulo6Car"/>
    <w:uiPriority w:val="9"/>
    <w:semiHidden/>
    <w:unhideWhenUsed/>
    <w:qFormat/>
    <w:rsid w:val="00C2655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2655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2655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2655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545A2"/>
    <w:rPr>
      <w:rFonts w:ascii="Times New Roman" w:eastAsiaTheme="majorEastAsia" w:hAnsi="Times New Roman" w:cstheme="majorBidi"/>
      <w:color w:val="00B050"/>
      <w:sz w:val="28"/>
      <w:szCs w:val="28"/>
      <w:lang w:val="es-ES"/>
    </w:rPr>
  </w:style>
  <w:style w:type="character" w:customStyle="1" w:styleId="Ttulo2Car">
    <w:name w:val="Título 2 Car"/>
    <w:basedOn w:val="Fuentedeprrafopredeter"/>
    <w:link w:val="Ttulo2"/>
    <w:uiPriority w:val="9"/>
    <w:rsid w:val="00607595"/>
    <w:rPr>
      <w:rFonts w:ascii="Times New Roman" w:eastAsiaTheme="majorEastAsia" w:hAnsi="Times New Roman" w:cs="Times New Roman"/>
      <w:i/>
      <w:iCs/>
      <w:color w:val="C00000"/>
    </w:rPr>
  </w:style>
  <w:style w:type="character" w:customStyle="1" w:styleId="Ttulo3Car">
    <w:name w:val="Título 3 Car"/>
    <w:basedOn w:val="Fuentedeprrafopredeter"/>
    <w:link w:val="Ttulo3"/>
    <w:uiPriority w:val="9"/>
    <w:semiHidden/>
    <w:rsid w:val="00C2655B"/>
    <w:rPr>
      <w:rFonts w:eastAsiaTheme="majorEastAsia" w:cstheme="majorBidi"/>
      <w:color w:val="276E8B" w:themeColor="accent1" w:themeShade="BF"/>
      <w:sz w:val="28"/>
      <w:szCs w:val="28"/>
      <w:lang w:val="es-ES"/>
    </w:rPr>
  </w:style>
  <w:style w:type="character" w:customStyle="1" w:styleId="Ttulo4Car">
    <w:name w:val="Título 4 Car"/>
    <w:basedOn w:val="Fuentedeprrafopredeter"/>
    <w:link w:val="Ttulo4"/>
    <w:uiPriority w:val="9"/>
    <w:semiHidden/>
    <w:rsid w:val="00C2655B"/>
    <w:rPr>
      <w:rFonts w:eastAsiaTheme="majorEastAsia" w:cstheme="majorBidi"/>
      <w:i/>
      <w:iCs/>
      <w:color w:val="276E8B" w:themeColor="accent1" w:themeShade="BF"/>
      <w:lang w:val="es-ES"/>
    </w:rPr>
  </w:style>
  <w:style w:type="character" w:customStyle="1" w:styleId="Ttulo5Car">
    <w:name w:val="Título 5 Car"/>
    <w:basedOn w:val="Fuentedeprrafopredeter"/>
    <w:link w:val="Ttulo5"/>
    <w:uiPriority w:val="9"/>
    <w:semiHidden/>
    <w:rsid w:val="00C2655B"/>
    <w:rPr>
      <w:rFonts w:eastAsiaTheme="majorEastAsia" w:cstheme="majorBidi"/>
      <w:color w:val="276E8B" w:themeColor="accent1" w:themeShade="BF"/>
      <w:lang w:val="es-ES"/>
    </w:rPr>
  </w:style>
  <w:style w:type="character" w:customStyle="1" w:styleId="Ttulo6Car">
    <w:name w:val="Título 6 Car"/>
    <w:basedOn w:val="Fuentedeprrafopredeter"/>
    <w:link w:val="Ttulo6"/>
    <w:uiPriority w:val="9"/>
    <w:semiHidden/>
    <w:rsid w:val="00C2655B"/>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C2655B"/>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C2655B"/>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C2655B"/>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0545A2"/>
    <w:pPr>
      <w:spacing w:line="276" w:lineRule="auto"/>
      <w:contextualSpacing/>
      <w:jc w:val="center"/>
    </w:pPr>
    <w:rPr>
      <w:rFonts w:eastAsiaTheme="majorEastAsia" w:cstheme="majorBidi"/>
      <w:color w:val="2683C6" w:themeColor="accent6"/>
      <w:spacing w:val="-10"/>
      <w:kern w:val="28"/>
      <w:sz w:val="36"/>
      <w:szCs w:val="36"/>
    </w:rPr>
  </w:style>
  <w:style w:type="character" w:customStyle="1" w:styleId="TtuloCar">
    <w:name w:val="Título Car"/>
    <w:basedOn w:val="Fuentedeprrafopredeter"/>
    <w:link w:val="Ttulo"/>
    <w:uiPriority w:val="10"/>
    <w:rsid w:val="000545A2"/>
    <w:rPr>
      <w:rFonts w:ascii="Times New Roman" w:eastAsiaTheme="majorEastAsia" w:hAnsi="Times New Roman" w:cstheme="majorBidi"/>
      <w:color w:val="2683C6" w:themeColor="accent6"/>
      <w:spacing w:val="-10"/>
      <w:kern w:val="28"/>
      <w:sz w:val="36"/>
      <w:szCs w:val="36"/>
      <w:lang w:val="es-ES"/>
    </w:rPr>
  </w:style>
  <w:style w:type="paragraph" w:styleId="Subttulo">
    <w:name w:val="Subtitle"/>
    <w:basedOn w:val="Normal"/>
    <w:next w:val="Normal"/>
    <w:link w:val="SubttuloCar"/>
    <w:uiPriority w:val="11"/>
    <w:qFormat/>
    <w:rsid w:val="00C2655B"/>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2655B"/>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C2655B"/>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C2655B"/>
    <w:rPr>
      <w:i/>
      <w:iCs/>
      <w:color w:val="404040" w:themeColor="text1" w:themeTint="BF"/>
      <w:lang w:val="es-ES"/>
    </w:rPr>
  </w:style>
  <w:style w:type="paragraph" w:styleId="Prrafodelista">
    <w:name w:val="List Paragraph"/>
    <w:basedOn w:val="Normal"/>
    <w:uiPriority w:val="34"/>
    <w:qFormat/>
    <w:rsid w:val="00C2655B"/>
    <w:pPr>
      <w:ind w:left="720"/>
      <w:contextualSpacing/>
    </w:pPr>
  </w:style>
  <w:style w:type="character" w:styleId="nfasisintenso">
    <w:name w:val="Intense Emphasis"/>
    <w:basedOn w:val="Fuentedeprrafopredeter"/>
    <w:uiPriority w:val="21"/>
    <w:qFormat/>
    <w:rsid w:val="00C2655B"/>
    <w:rPr>
      <w:i/>
      <w:iCs/>
      <w:color w:val="276E8B" w:themeColor="accent1" w:themeShade="BF"/>
    </w:rPr>
  </w:style>
  <w:style w:type="paragraph" w:styleId="Citadestacada">
    <w:name w:val="Intense Quote"/>
    <w:basedOn w:val="Normal"/>
    <w:next w:val="Normal"/>
    <w:link w:val="CitadestacadaCar"/>
    <w:uiPriority w:val="30"/>
    <w:qFormat/>
    <w:rsid w:val="00C2655B"/>
    <w:pPr>
      <w:pBdr>
        <w:top w:val="single" w:sz="4" w:space="10" w:color="276E8B" w:themeColor="accent1" w:themeShade="BF"/>
        <w:bottom w:val="single" w:sz="4" w:space="10" w:color="276E8B" w:themeColor="accent1" w:themeShade="BF"/>
      </w:pBdr>
      <w:spacing w:before="360" w:after="360"/>
      <w:ind w:left="864" w:right="864"/>
      <w:jc w:val="center"/>
    </w:pPr>
    <w:rPr>
      <w:i/>
      <w:iCs/>
      <w:color w:val="276E8B" w:themeColor="accent1" w:themeShade="BF"/>
    </w:rPr>
  </w:style>
  <w:style w:type="character" w:customStyle="1" w:styleId="CitadestacadaCar">
    <w:name w:val="Cita destacada Car"/>
    <w:basedOn w:val="Fuentedeprrafopredeter"/>
    <w:link w:val="Citadestacada"/>
    <w:uiPriority w:val="30"/>
    <w:rsid w:val="00C2655B"/>
    <w:rPr>
      <w:i/>
      <w:iCs/>
      <w:color w:val="276E8B" w:themeColor="accent1" w:themeShade="BF"/>
      <w:lang w:val="es-ES"/>
    </w:rPr>
  </w:style>
  <w:style w:type="character" w:styleId="Referenciaintensa">
    <w:name w:val="Intense Reference"/>
    <w:basedOn w:val="Fuentedeprrafopredeter"/>
    <w:uiPriority w:val="32"/>
    <w:qFormat/>
    <w:rsid w:val="00C2655B"/>
    <w:rPr>
      <w:b/>
      <w:bCs/>
      <w:smallCaps/>
      <w:color w:val="276E8B" w:themeColor="accent1" w:themeShade="BF"/>
      <w:spacing w:val="5"/>
    </w:rPr>
  </w:style>
  <w:style w:type="character" w:styleId="Hipervnculo">
    <w:name w:val="Hyperlink"/>
    <w:basedOn w:val="Fuentedeprrafopredeter"/>
    <w:uiPriority w:val="99"/>
    <w:unhideWhenUsed/>
    <w:rsid w:val="00C2655B"/>
    <w:rPr>
      <w:color w:val="6B9F25" w:themeColor="hyperlink"/>
      <w:u w:val="single"/>
    </w:rPr>
  </w:style>
  <w:style w:type="character" w:customStyle="1" w:styleId="Mencinsinresolver1">
    <w:name w:val="Mención sin resolver1"/>
    <w:basedOn w:val="Fuentedeprrafopredeter"/>
    <w:uiPriority w:val="99"/>
    <w:semiHidden/>
    <w:unhideWhenUsed/>
    <w:rsid w:val="00C2655B"/>
    <w:rPr>
      <w:color w:val="605E5C"/>
      <w:shd w:val="clear" w:color="auto" w:fill="E1DFDD"/>
    </w:rPr>
  </w:style>
  <w:style w:type="paragraph" w:styleId="NormalWeb">
    <w:name w:val="Normal (Web)"/>
    <w:basedOn w:val="Normal"/>
    <w:uiPriority w:val="99"/>
    <w:semiHidden/>
    <w:unhideWhenUsed/>
    <w:rsid w:val="00DB497E"/>
    <w:pPr>
      <w:spacing w:before="100" w:beforeAutospacing="1" w:after="100" w:afterAutospacing="1"/>
      <w:jc w:val="left"/>
    </w:pPr>
    <w:rPr>
      <w:rFonts w:eastAsia="Times New Roman" w:cs="Times New Roman"/>
      <w:kern w:val="0"/>
      <w:lang w:val="es-MX" w:eastAsia="es-MX"/>
      <w14:ligatures w14:val="none"/>
    </w:rPr>
  </w:style>
  <w:style w:type="character" w:styleId="nfasis">
    <w:name w:val="Emphasis"/>
    <w:basedOn w:val="Fuentedeprrafopredeter"/>
    <w:uiPriority w:val="20"/>
    <w:qFormat/>
    <w:rsid w:val="00DB497E"/>
    <w:rPr>
      <w:i/>
      <w:iCs/>
    </w:rPr>
  </w:style>
  <w:style w:type="paragraph" w:styleId="Descripcin">
    <w:name w:val="caption"/>
    <w:basedOn w:val="Normal"/>
    <w:next w:val="Normal"/>
    <w:uiPriority w:val="35"/>
    <w:unhideWhenUsed/>
    <w:qFormat/>
    <w:rsid w:val="00A82BB6"/>
    <w:pPr>
      <w:jc w:val="center"/>
    </w:pPr>
    <w:rPr>
      <w:b/>
      <w:bCs/>
      <w:i/>
      <w:iCs/>
      <w:color w:val="373545" w:themeColor="text2"/>
    </w:rPr>
  </w:style>
  <w:style w:type="table" w:styleId="Tablaconcuadrcula">
    <w:name w:val="Table Grid"/>
    <w:basedOn w:val="Tablanormal"/>
    <w:uiPriority w:val="39"/>
    <w:rsid w:val="00A82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A82BB6"/>
    <w:rPr>
      <w:color w:val="666666"/>
    </w:rPr>
  </w:style>
  <w:style w:type="paragraph" w:styleId="Encabezado">
    <w:name w:val="header"/>
    <w:basedOn w:val="Normal"/>
    <w:link w:val="EncabezadoCar"/>
    <w:uiPriority w:val="99"/>
    <w:unhideWhenUsed/>
    <w:rsid w:val="005C7C3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C7C3F"/>
    <w:rPr>
      <w:rFonts w:ascii="Times New Roman" w:hAnsi="Times New Roman"/>
      <w:lang w:val="es-ES"/>
    </w:rPr>
  </w:style>
  <w:style w:type="paragraph" w:styleId="Piedepgina">
    <w:name w:val="footer"/>
    <w:basedOn w:val="Normal"/>
    <w:link w:val="PiedepginaCar"/>
    <w:uiPriority w:val="99"/>
    <w:unhideWhenUsed/>
    <w:rsid w:val="005C7C3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C7C3F"/>
    <w:rPr>
      <w:rFonts w:ascii="Times New Roman" w:hAnsi="Times New Roman"/>
      <w:lang w:val="es-ES"/>
    </w:rPr>
  </w:style>
  <w:style w:type="character" w:styleId="Hipervnculovisitado">
    <w:name w:val="FollowedHyperlink"/>
    <w:basedOn w:val="Fuentedeprrafopredeter"/>
    <w:uiPriority w:val="99"/>
    <w:semiHidden/>
    <w:unhideWhenUsed/>
    <w:rsid w:val="004703EC"/>
    <w:rPr>
      <w:color w:val="9F6715" w:themeColor="followedHyperlink"/>
      <w:u w:val="single"/>
    </w:rPr>
  </w:style>
  <w:style w:type="character" w:styleId="Refdecomentario">
    <w:name w:val="annotation reference"/>
    <w:basedOn w:val="Fuentedeprrafopredeter"/>
    <w:uiPriority w:val="99"/>
    <w:semiHidden/>
    <w:unhideWhenUsed/>
    <w:rsid w:val="00DE64C0"/>
    <w:rPr>
      <w:sz w:val="16"/>
      <w:szCs w:val="16"/>
    </w:rPr>
  </w:style>
  <w:style w:type="paragraph" w:styleId="Textocomentario">
    <w:name w:val="annotation text"/>
    <w:basedOn w:val="Normal"/>
    <w:link w:val="TextocomentarioCar"/>
    <w:uiPriority w:val="99"/>
    <w:semiHidden/>
    <w:unhideWhenUsed/>
    <w:rsid w:val="00DE64C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E64C0"/>
    <w:rPr>
      <w:rFonts w:ascii="Times New Roman" w:hAnsi="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DE64C0"/>
    <w:rPr>
      <w:b/>
      <w:bCs/>
    </w:rPr>
  </w:style>
  <w:style w:type="character" w:customStyle="1" w:styleId="AsuntodelcomentarioCar">
    <w:name w:val="Asunto del comentario Car"/>
    <w:basedOn w:val="TextocomentarioCar"/>
    <w:link w:val="Asuntodelcomentario"/>
    <w:uiPriority w:val="99"/>
    <w:semiHidden/>
    <w:rsid w:val="00DE64C0"/>
    <w:rPr>
      <w:rFonts w:ascii="Times New Roman" w:hAnsi="Times New Roman"/>
      <w:b/>
      <w:bCs/>
      <w:sz w:val="20"/>
      <w:szCs w:val="20"/>
      <w:lang w:val="es-ES"/>
    </w:rPr>
  </w:style>
  <w:style w:type="paragraph" w:styleId="Textonotapie">
    <w:name w:val="footnote text"/>
    <w:basedOn w:val="Normal"/>
    <w:link w:val="TextonotapieCar"/>
    <w:uiPriority w:val="99"/>
    <w:semiHidden/>
    <w:unhideWhenUsed/>
    <w:rsid w:val="000B336E"/>
    <w:pPr>
      <w:spacing w:line="240" w:lineRule="auto"/>
    </w:pPr>
    <w:rPr>
      <w:sz w:val="20"/>
      <w:szCs w:val="20"/>
    </w:rPr>
  </w:style>
  <w:style w:type="character" w:customStyle="1" w:styleId="TextonotapieCar">
    <w:name w:val="Texto nota pie Car"/>
    <w:basedOn w:val="Fuentedeprrafopredeter"/>
    <w:link w:val="Textonotapie"/>
    <w:uiPriority w:val="99"/>
    <w:semiHidden/>
    <w:rsid w:val="000B336E"/>
    <w:rPr>
      <w:rFonts w:ascii="Times New Roman" w:hAnsi="Times New Roman"/>
      <w:sz w:val="20"/>
      <w:szCs w:val="20"/>
      <w:lang w:val="es-ES"/>
    </w:rPr>
  </w:style>
  <w:style w:type="character" w:styleId="Refdenotaalpie">
    <w:name w:val="footnote reference"/>
    <w:basedOn w:val="Fuentedeprrafopredeter"/>
    <w:uiPriority w:val="99"/>
    <w:semiHidden/>
    <w:unhideWhenUsed/>
    <w:rsid w:val="000B336E"/>
    <w:rPr>
      <w:vertAlign w:val="superscript"/>
    </w:rPr>
  </w:style>
  <w:style w:type="character" w:styleId="Mencinsinresolver">
    <w:name w:val="Unresolved Mention"/>
    <w:basedOn w:val="Fuentedeprrafopredeter"/>
    <w:uiPriority w:val="99"/>
    <w:semiHidden/>
    <w:unhideWhenUsed/>
    <w:rsid w:val="00575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498870">
      <w:bodyDiv w:val="1"/>
      <w:marLeft w:val="0"/>
      <w:marRight w:val="0"/>
      <w:marTop w:val="0"/>
      <w:marBottom w:val="0"/>
      <w:divBdr>
        <w:top w:val="none" w:sz="0" w:space="0" w:color="auto"/>
        <w:left w:val="none" w:sz="0" w:space="0" w:color="auto"/>
        <w:bottom w:val="none" w:sz="0" w:space="0" w:color="auto"/>
        <w:right w:val="none" w:sz="0" w:space="0" w:color="auto"/>
      </w:divBdr>
    </w:div>
    <w:div w:id="589310167">
      <w:bodyDiv w:val="1"/>
      <w:marLeft w:val="0"/>
      <w:marRight w:val="0"/>
      <w:marTop w:val="0"/>
      <w:marBottom w:val="0"/>
      <w:divBdr>
        <w:top w:val="none" w:sz="0" w:space="0" w:color="auto"/>
        <w:left w:val="none" w:sz="0" w:space="0" w:color="auto"/>
        <w:bottom w:val="none" w:sz="0" w:space="0" w:color="auto"/>
        <w:right w:val="none" w:sz="0" w:space="0" w:color="auto"/>
      </w:divBdr>
    </w:div>
    <w:div w:id="705909333">
      <w:bodyDiv w:val="1"/>
      <w:marLeft w:val="0"/>
      <w:marRight w:val="0"/>
      <w:marTop w:val="0"/>
      <w:marBottom w:val="0"/>
      <w:divBdr>
        <w:top w:val="none" w:sz="0" w:space="0" w:color="auto"/>
        <w:left w:val="none" w:sz="0" w:space="0" w:color="auto"/>
        <w:bottom w:val="none" w:sz="0" w:space="0" w:color="auto"/>
        <w:right w:val="none" w:sz="0" w:space="0" w:color="auto"/>
      </w:divBdr>
    </w:div>
    <w:div w:id="1032196033">
      <w:bodyDiv w:val="1"/>
      <w:marLeft w:val="0"/>
      <w:marRight w:val="0"/>
      <w:marTop w:val="0"/>
      <w:marBottom w:val="0"/>
      <w:divBdr>
        <w:top w:val="none" w:sz="0" w:space="0" w:color="auto"/>
        <w:left w:val="none" w:sz="0" w:space="0" w:color="auto"/>
        <w:bottom w:val="none" w:sz="0" w:space="0" w:color="auto"/>
        <w:right w:val="none" w:sz="0" w:space="0" w:color="auto"/>
      </w:divBdr>
    </w:div>
    <w:div w:id="1218012209">
      <w:bodyDiv w:val="1"/>
      <w:marLeft w:val="0"/>
      <w:marRight w:val="0"/>
      <w:marTop w:val="0"/>
      <w:marBottom w:val="0"/>
      <w:divBdr>
        <w:top w:val="none" w:sz="0" w:space="0" w:color="auto"/>
        <w:left w:val="none" w:sz="0" w:space="0" w:color="auto"/>
        <w:bottom w:val="none" w:sz="0" w:space="0" w:color="auto"/>
        <w:right w:val="none" w:sz="0" w:space="0" w:color="auto"/>
      </w:divBdr>
    </w:div>
    <w:div w:id="1266810985">
      <w:bodyDiv w:val="1"/>
      <w:marLeft w:val="0"/>
      <w:marRight w:val="0"/>
      <w:marTop w:val="0"/>
      <w:marBottom w:val="0"/>
      <w:divBdr>
        <w:top w:val="none" w:sz="0" w:space="0" w:color="auto"/>
        <w:left w:val="none" w:sz="0" w:space="0" w:color="auto"/>
        <w:bottom w:val="none" w:sz="0" w:space="0" w:color="auto"/>
        <w:right w:val="none" w:sz="0" w:space="0" w:color="auto"/>
      </w:divBdr>
    </w:div>
    <w:div w:id="137962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riveral@chapingo.mx" TargetMode="External"/><Relationship Id="rId18" Type="http://schemas.openxmlformats.org/officeDocument/2006/relationships/hyperlink" Target="https://doi.org/10.1016/j.jpubeco.2021.104589" TargetMode="External"/><Relationship Id="rId26" Type="http://schemas.openxmlformats.org/officeDocument/2006/relationships/hyperlink" Target="https://www.heritage.org/taxes/report/the-laffer-curve-past-present-and-future?utm_source=chatgpt.com" TargetMode="External"/><Relationship Id="rId3" Type="http://schemas.openxmlformats.org/officeDocument/2006/relationships/styles" Target="styles.xml"/><Relationship Id="rId21" Type="http://schemas.openxmlformats.org/officeDocument/2006/relationships/hyperlink" Target="https://doi.org/10.1038/s41558-021-01217-0" TargetMode="External"/><Relationship Id="rId7" Type="http://schemas.openxmlformats.org/officeDocument/2006/relationships/endnotes" Target="endnotes.xml"/><Relationship Id="rId12" Type="http://schemas.openxmlformats.org/officeDocument/2006/relationships/hyperlink" Target="https://orcid.org/0000-0003-3028-0464" TargetMode="External"/><Relationship Id="rId17" Type="http://schemas.openxmlformats.org/officeDocument/2006/relationships/chart" Target="charts/chart1.xml"/><Relationship Id="rId25" Type="http://schemas.openxmlformats.org/officeDocument/2006/relationships/hyperlink" Target="https://doi.org/10.1016/j.econmod.2024.106867"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rcid.org/0009-0006-0273-3154" TargetMode="External"/><Relationship Id="rId20" Type="http://schemas.openxmlformats.org/officeDocument/2006/relationships/hyperlink" Target="https://doi.org/10.5089/9781513599847.001" TargetMode="External"/><Relationship Id="rId29" Type="http://schemas.openxmlformats.org/officeDocument/2006/relationships/hyperlink" Target="https://doi.org/10.1016/j.eap.2022.01.0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miro.martinez@uptex.edu.mx" TargetMode="External"/><Relationship Id="rId24" Type="http://schemas.openxmlformats.org/officeDocument/2006/relationships/hyperlink" Target="https://doi.org/10.1016/j.enpol.2011.07.02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rafael.rodriguez@ujed.mx" TargetMode="External"/><Relationship Id="rId23" Type="http://schemas.openxmlformats.org/officeDocument/2006/relationships/hyperlink" Target="https://gaceta.diputados.gob.mx/PDF/62/2013/sep/20130908-C.pdf?utm_source=chatgpt.com" TargetMode="External"/><Relationship Id="rId28" Type="http://schemas.openxmlformats.org/officeDocument/2006/relationships/hyperlink" Target="https://doi.org/10.1016/j.reseneeco.2024.101476" TargetMode="External"/><Relationship Id="rId10" Type="http://schemas.openxmlformats.org/officeDocument/2006/relationships/hyperlink" Target="https://orcid.org/0000-0003-2689-6952" TargetMode="External"/><Relationship Id="rId19" Type="http://schemas.openxmlformats.org/officeDocument/2006/relationships/hyperlink" Target="https://doi.org/10.1016/j.euroecorev.2019.03.006"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ime.ruiz@ujed.mx" TargetMode="External"/><Relationship Id="rId14" Type="http://schemas.openxmlformats.org/officeDocument/2006/relationships/hyperlink" Target="https://orcid.org/0000-0002-3879-2782" TargetMode="External"/><Relationship Id="rId22" Type="http://schemas.openxmlformats.org/officeDocument/2006/relationships/hyperlink" Target="https://www.diputados.gob.mx/LeyesBiblio/ref/lieps/LIEPS_ref41_11dic13.pdf?utm_source=chatgpt.com" TargetMode="External"/><Relationship Id="rId27" Type="http://schemas.openxmlformats.org/officeDocument/2006/relationships/hyperlink" Target="https://doi.org/10.1093/reep/ren015" TargetMode="External"/><Relationship Id="rId30" Type="http://schemas.openxmlformats.org/officeDocument/2006/relationships/hyperlink" Target="https://doi.org/10.1016/j.econmod.2022.105911" TargetMode="Externa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Hoja1!$C$19</c:f>
              <c:strCache>
                <c:ptCount val="1"/>
                <c:pt idx="0">
                  <c:v>Recaudación potencial (millones USD)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Hoja1!$B$20:$B$30</c:f>
              <c:numCache>
                <c:formatCode>General</c:formatCode>
                <c:ptCount val="11"/>
                <c:pt idx="0">
                  <c:v>25</c:v>
                </c:pt>
                <c:pt idx="1">
                  <c:v>50</c:v>
                </c:pt>
                <c:pt idx="2">
                  <c:v>75</c:v>
                </c:pt>
                <c:pt idx="3">
                  <c:v>100</c:v>
                </c:pt>
                <c:pt idx="4">
                  <c:v>150</c:v>
                </c:pt>
                <c:pt idx="5">
                  <c:v>200</c:v>
                </c:pt>
                <c:pt idx="6">
                  <c:v>250</c:v>
                </c:pt>
                <c:pt idx="7">
                  <c:v>286.95999999999998</c:v>
                </c:pt>
                <c:pt idx="8">
                  <c:v>300</c:v>
                </c:pt>
                <c:pt idx="9">
                  <c:v>350</c:v>
                </c:pt>
                <c:pt idx="10">
                  <c:v>400</c:v>
                </c:pt>
              </c:numCache>
            </c:numRef>
          </c:xVal>
          <c:yVal>
            <c:numRef>
              <c:f>Hoja1!$C$20:$C$30</c:f>
              <c:numCache>
                <c:formatCode>_-"$"* #,##0_-;\-"$"* #,##0_-;_-"$"* "-"??_-;_-@_-</c:formatCode>
                <c:ptCount val="11"/>
                <c:pt idx="0">
                  <c:v>10316.32</c:v>
                </c:pt>
                <c:pt idx="1">
                  <c:v>18911.18</c:v>
                </c:pt>
                <c:pt idx="2">
                  <c:v>26000</c:v>
                </c:pt>
                <c:pt idx="3">
                  <c:v>31774.28</c:v>
                </c:pt>
                <c:pt idx="4">
                  <c:v>40040</c:v>
                </c:pt>
                <c:pt idx="5">
                  <c:v>44849.74</c:v>
                </c:pt>
                <c:pt idx="6">
                  <c:v>47097.42</c:v>
                </c:pt>
                <c:pt idx="7">
                  <c:v>47527.08</c:v>
                </c:pt>
                <c:pt idx="8">
                  <c:v>47479.43</c:v>
                </c:pt>
                <c:pt idx="9">
                  <c:v>46534.97</c:v>
                </c:pt>
                <c:pt idx="10">
                  <c:v>44678.5</c:v>
                </c:pt>
              </c:numCache>
            </c:numRef>
          </c:yVal>
          <c:smooth val="1"/>
          <c:extLst>
            <c:ext xmlns:c16="http://schemas.microsoft.com/office/drawing/2014/chart" uri="{C3380CC4-5D6E-409C-BE32-E72D297353CC}">
              <c16:uniqueId val="{00000000-B019-8E45-8566-D40E9B0FD580}"/>
            </c:ext>
          </c:extLst>
        </c:ser>
        <c:dLbls>
          <c:showLegendKey val="0"/>
          <c:showVal val="0"/>
          <c:showCatName val="0"/>
          <c:showSerName val="0"/>
          <c:showPercent val="0"/>
          <c:showBubbleSize val="0"/>
        </c:dLbls>
        <c:axId val="380661119"/>
        <c:axId val="380662911"/>
      </c:scatterChart>
      <c:valAx>
        <c:axId val="380661119"/>
        <c:scaling>
          <c:orientation val="minMax"/>
          <c:max val="400"/>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sz="900"/>
                  <a:t>Precio</a:t>
                </a:r>
                <a:r>
                  <a:rPr lang="es-MX" sz="900" baseline="0"/>
                  <a:t> al carbono (USD/tCO</a:t>
                </a:r>
                <a:r>
                  <a:rPr lang="es-MX" sz="900" baseline="-25000"/>
                  <a:t>2</a:t>
                </a:r>
                <a:r>
                  <a:rPr lang="es-MX" sz="900" baseline="0"/>
                  <a:t>)</a:t>
                </a:r>
                <a:endParaRPr lang="es-MX" sz="900"/>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380662911"/>
        <c:crosses val="autoZero"/>
        <c:crossBetween val="midCat"/>
      </c:valAx>
      <c:valAx>
        <c:axId val="380662911"/>
        <c:scaling>
          <c:orientation val="minMax"/>
          <c:min val="1000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MX" sz="900"/>
                  <a:t>Recaudación potencial (millones</a:t>
                </a:r>
                <a:r>
                  <a:rPr lang="es-MX" sz="900" baseline="0"/>
                  <a:t> de USD)</a:t>
                </a:r>
                <a:endParaRPr lang="es-MX" sz="900"/>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crossAx val="38066111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Verde azulado">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0CBA5-6BA8-4A2C-B29F-4E4103FBB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27</Pages>
  <Words>15794</Words>
  <Characters>86869</Characters>
  <Application>Microsoft Office Word</Application>
  <DocSecurity>0</DocSecurity>
  <Lines>723</Lines>
  <Paragraphs>204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Quigonjin</dc:creator>
  <cp:keywords/>
  <dc:description/>
  <cp:lastModifiedBy>Quigonjin</cp:lastModifiedBy>
  <cp:revision>11</cp:revision>
  <cp:lastPrinted>2026-08-20T01:19:00Z</cp:lastPrinted>
  <dcterms:created xsi:type="dcterms:W3CDTF">2026-07-08T00:06:00Z</dcterms:created>
  <dcterms:modified xsi:type="dcterms:W3CDTF">2026-08-20T05:10:00Z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660830c47774d538ee598dace16fa87012e4c6e32470c898e07145298eaa352a</vt:lpwstr>
  </property>
</Properties>
</file>