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BE3A1" w14:textId="3C187DD7" w:rsidR="005B21A8" w:rsidRDefault="005B21A8" w:rsidP="005B21A8">
      <w:pPr>
        <w:spacing w:before="240" w:after="140" w:line="360" w:lineRule="auto"/>
        <w:jc w:val="right"/>
        <w:rPr>
          <w:rFonts w:eastAsia="Calibri"/>
          <w:b/>
          <w:bCs/>
          <w:sz w:val="32"/>
          <w:szCs w:val="32"/>
        </w:rPr>
      </w:pPr>
      <w:bookmarkStart w:id="0" w:name="_Hlk50893861"/>
      <w:proofErr w:type="spellStart"/>
      <w:r w:rsidRPr="003B6672">
        <w:rPr>
          <w:b/>
          <w:i/>
          <w:szCs w:val="20"/>
        </w:rPr>
        <w:t>Artículos</w:t>
      </w:r>
      <w:proofErr w:type="spellEnd"/>
      <w:r w:rsidRPr="003B6672">
        <w:rPr>
          <w:b/>
          <w:i/>
          <w:szCs w:val="20"/>
        </w:rPr>
        <w:t xml:space="preserve"> </w:t>
      </w:r>
      <w:proofErr w:type="spellStart"/>
      <w:r>
        <w:rPr>
          <w:b/>
          <w:i/>
          <w:szCs w:val="20"/>
        </w:rPr>
        <w:t>c</w:t>
      </w:r>
      <w:r w:rsidRPr="003B6672">
        <w:rPr>
          <w:b/>
          <w:i/>
          <w:szCs w:val="20"/>
        </w:rPr>
        <w:t>ientíficos</w:t>
      </w:r>
      <w:proofErr w:type="spellEnd"/>
    </w:p>
    <w:p w14:paraId="5B67B8F6" w14:textId="1EB981F9" w:rsidR="00863AFE" w:rsidRPr="005B21A8" w:rsidRDefault="00E164E6" w:rsidP="005B21A8">
      <w:pPr>
        <w:spacing w:after="140" w:line="276" w:lineRule="auto"/>
        <w:jc w:val="right"/>
        <w:rPr>
          <w:rFonts w:ascii="Calibri" w:hAnsi="Calibri" w:cs="Calibri"/>
          <w:b/>
          <w:color w:val="000000"/>
          <w:sz w:val="36"/>
          <w:szCs w:val="36"/>
          <w:lang w:val="es-MX" w:eastAsia="es-MX"/>
        </w:rPr>
      </w:pPr>
      <w:r w:rsidRPr="005B21A8">
        <w:rPr>
          <w:rFonts w:ascii="Calibri" w:hAnsi="Calibri" w:cs="Calibri"/>
          <w:b/>
          <w:color w:val="000000"/>
          <w:sz w:val="36"/>
          <w:szCs w:val="36"/>
          <w:lang w:val="es-MX" w:eastAsia="es-MX"/>
        </w:rPr>
        <w:t>Aparición de Brotes de Chamizo [</w:t>
      </w:r>
      <w:proofErr w:type="spellStart"/>
      <w:r w:rsidRPr="005B21A8">
        <w:rPr>
          <w:rFonts w:ascii="Calibri" w:hAnsi="Calibri" w:cs="Calibri"/>
          <w:b/>
          <w:color w:val="000000"/>
          <w:sz w:val="36"/>
          <w:szCs w:val="36"/>
          <w:lang w:val="es-MX" w:eastAsia="es-MX"/>
        </w:rPr>
        <w:t>Atriplex</w:t>
      </w:r>
      <w:proofErr w:type="spellEnd"/>
      <w:r w:rsidRPr="005B21A8">
        <w:rPr>
          <w:rFonts w:ascii="Calibri" w:hAnsi="Calibri" w:cs="Calibri"/>
          <w:b/>
          <w:color w:val="000000"/>
          <w:sz w:val="36"/>
          <w:szCs w:val="36"/>
          <w:lang w:val="es-MX" w:eastAsia="es-MX"/>
        </w:rPr>
        <w:t xml:space="preserve"> </w:t>
      </w:r>
      <w:proofErr w:type="spellStart"/>
      <w:r w:rsidRPr="005B21A8">
        <w:rPr>
          <w:rFonts w:ascii="Calibri" w:hAnsi="Calibri" w:cs="Calibri"/>
          <w:b/>
          <w:color w:val="000000"/>
          <w:sz w:val="36"/>
          <w:szCs w:val="36"/>
          <w:lang w:val="es-MX" w:eastAsia="es-MX"/>
        </w:rPr>
        <w:t>canescens</w:t>
      </w:r>
      <w:proofErr w:type="spellEnd"/>
      <w:r w:rsidRPr="005B21A8">
        <w:rPr>
          <w:rFonts w:ascii="Calibri" w:hAnsi="Calibri" w:cs="Calibri"/>
          <w:b/>
          <w:color w:val="000000"/>
          <w:sz w:val="36"/>
          <w:szCs w:val="36"/>
          <w:lang w:val="es-MX" w:eastAsia="es-MX"/>
        </w:rPr>
        <w:t xml:space="preserve"> (</w:t>
      </w:r>
      <w:proofErr w:type="spellStart"/>
      <w:r w:rsidRPr="005B21A8">
        <w:rPr>
          <w:rFonts w:ascii="Calibri" w:hAnsi="Calibri" w:cs="Calibri"/>
          <w:b/>
          <w:color w:val="000000"/>
          <w:sz w:val="36"/>
          <w:szCs w:val="36"/>
          <w:lang w:val="es-MX" w:eastAsia="es-MX"/>
        </w:rPr>
        <w:t>Pursh</w:t>
      </w:r>
      <w:proofErr w:type="spellEnd"/>
      <w:r w:rsidRPr="005B21A8">
        <w:rPr>
          <w:rFonts w:ascii="Calibri" w:hAnsi="Calibri" w:cs="Calibri"/>
          <w:b/>
          <w:color w:val="000000"/>
          <w:sz w:val="36"/>
          <w:szCs w:val="36"/>
          <w:lang w:val="es-MX" w:eastAsia="es-MX"/>
        </w:rPr>
        <w:t xml:space="preserve">, Nutt)] para </w:t>
      </w:r>
      <w:proofErr w:type="spellStart"/>
      <w:r w:rsidRPr="005B21A8">
        <w:rPr>
          <w:rFonts w:ascii="Calibri" w:hAnsi="Calibri" w:cs="Calibri"/>
          <w:b/>
          <w:color w:val="000000"/>
          <w:sz w:val="36"/>
          <w:szCs w:val="36"/>
          <w:lang w:val="es-MX" w:eastAsia="es-MX"/>
        </w:rPr>
        <w:t>Fitoestabilización</w:t>
      </w:r>
      <w:proofErr w:type="spellEnd"/>
      <w:r w:rsidRPr="005B21A8">
        <w:rPr>
          <w:rFonts w:ascii="Calibri" w:hAnsi="Calibri" w:cs="Calibri"/>
          <w:b/>
          <w:color w:val="000000"/>
          <w:sz w:val="36"/>
          <w:szCs w:val="36"/>
          <w:lang w:val="es-MX" w:eastAsia="es-MX"/>
        </w:rPr>
        <w:t xml:space="preserve"> de Plomo</w:t>
      </w:r>
    </w:p>
    <w:bookmarkEnd w:id="0"/>
    <w:p w14:paraId="1B40D698" w14:textId="5BDAF3B5" w:rsidR="00FE03E5" w:rsidRPr="005B21A8" w:rsidRDefault="005B21A8" w:rsidP="005B21A8">
      <w:pPr>
        <w:spacing w:after="140" w:line="276" w:lineRule="auto"/>
        <w:jc w:val="right"/>
        <w:rPr>
          <w:rFonts w:ascii="Calibri" w:hAnsi="Calibri" w:cs="Calibri"/>
          <w:b/>
          <w:i/>
          <w:iCs/>
          <w:color w:val="000000"/>
          <w:sz w:val="28"/>
          <w:szCs w:val="28"/>
          <w:lang w:val="es-MX" w:eastAsia="es-MX"/>
        </w:rPr>
      </w:pPr>
      <w:r>
        <w:rPr>
          <w:rFonts w:ascii="Calibri" w:hAnsi="Calibri" w:cs="Calibri"/>
          <w:b/>
          <w:i/>
          <w:iCs/>
          <w:color w:val="000000"/>
          <w:sz w:val="28"/>
          <w:szCs w:val="28"/>
          <w:lang w:val="es-MX" w:eastAsia="es-MX"/>
        </w:rPr>
        <w:br/>
      </w:r>
      <w:proofErr w:type="spellStart"/>
      <w:r w:rsidR="007B7BD6" w:rsidRPr="005B21A8">
        <w:rPr>
          <w:rFonts w:ascii="Calibri" w:hAnsi="Calibri" w:cs="Calibri"/>
          <w:b/>
          <w:i/>
          <w:iCs/>
          <w:color w:val="000000"/>
          <w:sz w:val="28"/>
          <w:szCs w:val="28"/>
          <w:lang w:val="es-MX" w:eastAsia="es-MX"/>
        </w:rPr>
        <w:t>Seed</w:t>
      </w:r>
      <w:proofErr w:type="spellEnd"/>
      <w:r w:rsidR="007B7BD6" w:rsidRPr="005B21A8">
        <w:rPr>
          <w:rFonts w:ascii="Calibri" w:hAnsi="Calibri" w:cs="Calibri"/>
          <w:b/>
          <w:i/>
          <w:iCs/>
          <w:color w:val="000000"/>
          <w:sz w:val="28"/>
          <w:szCs w:val="28"/>
          <w:lang w:val="es-MX" w:eastAsia="es-MX"/>
        </w:rPr>
        <w:t xml:space="preserve"> </w:t>
      </w:r>
      <w:proofErr w:type="spellStart"/>
      <w:r w:rsidR="007B7BD6" w:rsidRPr="005B21A8">
        <w:rPr>
          <w:rFonts w:ascii="Calibri" w:hAnsi="Calibri" w:cs="Calibri"/>
          <w:b/>
          <w:i/>
          <w:iCs/>
          <w:color w:val="000000"/>
          <w:sz w:val="28"/>
          <w:szCs w:val="28"/>
          <w:lang w:val="es-MX" w:eastAsia="es-MX"/>
        </w:rPr>
        <w:t>emergence</w:t>
      </w:r>
      <w:proofErr w:type="spellEnd"/>
      <w:r w:rsidR="007B7BD6" w:rsidRPr="005B21A8">
        <w:rPr>
          <w:rFonts w:ascii="Calibri" w:hAnsi="Calibri" w:cs="Calibri"/>
          <w:b/>
          <w:i/>
          <w:iCs/>
          <w:color w:val="000000"/>
          <w:sz w:val="28"/>
          <w:szCs w:val="28"/>
          <w:lang w:val="es-MX" w:eastAsia="es-MX"/>
        </w:rPr>
        <w:t xml:space="preserve"> </w:t>
      </w:r>
      <w:proofErr w:type="spellStart"/>
      <w:r w:rsidR="007B7BD6" w:rsidRPr="005B21A8">
        <w:rPr>
          <w:rFonts w:ascii="Calibri" w:hAnsi="Calibri" w:cs="Calibri"/>
          <w:b/>
          <w:i/>
          <w:iCs/>
          <w:color w:val="000000"/>
          <w:sz w:val="28"/>
          <w:szCs w:val="28"/>
          <w:lang w:val="es-MX" w:eastAsia="es-MX"/>
        </w:rPr>
        <w:t>of</w:t>
      </w:r>
      <w:proofErr w:type="spellEnd"/>
      <w:r w:rsidR="007B7BD6" w:rsidRPr="005B21A8">
        <w:rPr>
          <w:rFonts w:ascii="Calibri" w:hAnsi="Calibri" w:cs="Calibri"/>
          <w:b/>
          <w:i/>
          <w:iCs/>
          <w:color w:val="000000"/>
          <w:sz w:val="28"/>
          <w:szCs w:val="28"/>
          <w:lang w:val="es-MX" w:eastAsia="es-MX"/>
        </w:rPr>
        <w:t xml:space="preserve"> </w:t>
      </w:r>
      <w:proofErr w:type="spellStart"/>
      <w:r w:rsidR="007B7BD6" w:rsidRPr="005B21A8">
        <w:rPr>
          <w:rFonts w:ascii="Calibri" w:hAnsi="Calibri" w:cs="Calibri"/>
          <w:b/>
          <w:i/>
          <w:iCs/>
          <w:color w:val="000000"/>
          <w:sz w:val="28"/>
          <w:szCs w:val="28"/>
          <w:lang w:val="es-MX" w:eastAsia="es-MX"/>
        </w:rPr>
        <w:t>fourwing</w:t>
      </w:r>
      <w:proofErr w:type="spellEnd"/>
      <w:r w:rsidR="007B7BD6" w:rsidRPr="005B21A8">
        <w:rPr>
          <w:rFonts w:ascii="Calibri" w:hAnsi="Calibri" w:cs="Calibri"/>
          <w:b/>
          <w:i/>
          <w:iCs/>
          <w:color w:val="000000"/>
          <w:sz w:val="28"/>
          <w:szCs w:val="28"/>
          <w:lang w:val="es-MX" w:eastAsia="es-MX"/>
        </w:rPr>
        <w:t xml:space="preserve"> saltbush [Atriplex </w:t>
      </w:r>
      <w:proofErr w:type="spellStart"/>
      <w:r w:rsidR="007B7BD6" w:rsidRPr="005B21A8">
        <w:rPr>
          <w:rFonts w:ascii="Calibri" w:hAnsi="Calibri" w:cs="Calibri"/>
          <w:b/>
          <w:i/>
          <w:iCs/>
          <w:color w:val="000000"/>
          <w:sz w:val="28"/>
          <w:szCs w:val="28"/>
          <w:lang w:val="es-MX" w:eastAsia="es-MX"/>
        </w:rPr>
        <w:t>canescens</w:t>
      </w:r>
      <w:proofErr w:type="spellEnd"/>
      <w:r w:rsidR="007B7BD6" w:rsidRPr="005B21A8">
        <w:rPr>
          <w:rFonts w:ascii="Calibri" w:hAnsi="Calibri" w:cs="Calibri"/>
          <w:b/>
          <w:i/>
          <w:iCs/>
          <w:color w:val="000000"/>
          <w:sz w:val="28"/>
          <w:szCs w:val="28"/>
          <w:lang w:val="es-MX" w:eastAsia="es-MX"/>
        </w:rPr>
        <w:t xml:space="preserve"> (</w:t>
      </w:r>
      <w:proofErr w:type="spellStart"/>
      <w:r w:rsidR="007B7BD6" w:rsidRPr="005B21A8">
        <w:rPr>
          <w:rFonts w:ascii="Calibri" w:hAnsi="Calibri" w:cs="Calibri"/>
          <w:b/>
          <w:i/>
          <w:iCs/>
          <w:color w:val="000000"/>
          <w:sz w:val="28"/>
          <w:szCs w:val="28"/>
          <w:lang w:val="es-MX" w:eastAsia="es-MX"/>
        </w:rPr>
        <w:t>Pursh</w:t>
      </w:r>
      <w:proofErr w:type="spellEnd"/>
      <w:r w:rsidR="007B7BD6" w:rsidRPr="005B21A8">
        <w:rPr>
          <w:rFonts w:ascii="Calibri" w:hAnsi="Calibri" w:cs="Calibri"/>
          <w:b/>
          <w:i/>
          <w:iCs/>
          <w:color w:val="000000"/>
          <w:sz w:val="28"/>
          <w:szCs w:val="28"/>
          <w:lang w:val="es-MX" w:eastAsia="es-MX"/>
        </w:rPr>
        <w:t xml:space="preserve">, Nutt)] for lead </w:t>
      </w:r>
      <w:proofErr w:type="spellStart"/>
      <w:r w:rsidR="007B7BD6" w:rsidRPr="005B21A8">
        <w:rPr>
          <w:rFonts w:ascii="Calibri" w:hAnsi="Calibri" w:cs="Calibri"/>
          <w:b/>
          <w:i/>
          <w:iCs/>
          <w:color w:val="000000"/>
          <w:sz w:val="28"/>
          <w:szCs w:val="28"/>
          <w:lang w:val="es-MX" w:eastAsia="es-MX"/>
        </w:rPr>
        <w:t>phytostabilization</w:t>
      </w:r>
      <w:proofErr w:type="spellEnd"/>
    </w:p>
    <w:p w14:paraId="07F7DF3A" w14:textId="77777777" w:rsidR="005B21A8" w:rsidRDefault="005B21A8" w:rsidP="007B7BD6">
      <w:pPr>
        <w:jc w:val="center"/>
        <w:rPr>
          <w:rFonts w:eastAsia="Calibri"/>
          <w:bCs/>
          <w:lang w:val="es-MX"/>
        </w:rPr>
      </w:pPr>
    </w:p>
    <w:p w14:paraId="69019799" w14:textId="7D177531" w:rsidR="00434F70" w:rsidRPr="005B21A8" w:rsidRDefault="00434F70" w:rsidP="005B21A8">
      <w:pPr>
        <w:spacing w:line="276" w:lineRule="auto"/>
        <w:jc w:val="right"/>
        <w:rPr>
          <w:rFonts w:asciiTheme="minorHAnsi" w:eastAsia="Calibri" w:hAnsiTheme="minorHAnsi" w:cstheme="minorHAnsi"/>
          <w:b/>
          <w:lang w:val="es-MX"/>
        </w:rPr>
      </w:pPr>
      <w:proofErr w:type="spellStart"/>
      <w:r w:rsidRPr="005B21A8">
        <w:rPr>
          <w:rFonts w:asciiTheme="minorHAnsi" w:eastAsia="Calibri" w:hAnsiTheme="minorHAnsi" w:cstheme="minorHAnsi"/>
          <w:b/>
          <w:lang w:val="es-MX"/>
        </w:rPr>
        <w:t>Pravda</w:t>
      </w:r>
      <w:proofErr w:type="spellEnd"/>
      <w:r w:rsidRPr="005B21A8">
        <w:rPr>
          <w:rFonts w:asciiTheme="minorHAnsi" w:eastAsia="Calibri" w:hAnsiTheme="minorHAnsi" w:cstheme="minorHAnsi"/>
          <w:b/>
          <w:lang w:val="es-MX"/>
        </w:rPr>
        <w:t xml:space="preserve"> Luz Aguilar-Hernández</w:t>
      </w:r>
    </w:p>
    <w:p w14:paraId="5896B88D" w14:textId="2BD94A04" w:rsidR="001C7B94" w:rsidRPr="005B21A8" w:rsidRDefault="005B21A8" w:rsidP="005B21A8">
      <w:pPr>
        <w:spacing w:line="276" w:lineRule="auto"/>
        <w:jc w:val="right"/>
        <w:rPr>
          <w:rFonts w:eastAsia="Calibri"/>
          <w:bCs/>
          <w:color w:val="000000" w:themeColor="text1"/>
          <w:sz w:val="32"/>
          <w:szCs w:val="32"/>
          <w:lang w:val="es-MX"/>
        </w:rPr>
      </w:pPr>
      <w:r w:rsidRPr="005B21A8">
        <w:rPr>
          <w:color w:val="000000" w:themeColor="text1"/>
          <w:shd w:val="clear" w:color="auto" w:fill="FFFFFF"/>
          <w:lang w:val="es-MX"/>
        </w:rPr>
        <w:t>Universidad Autónoma de Chihuahua</w:t>
      </w:r>
      <w:r w:rsidRPr="005B21A8">
        <w:rPr>
          <w:color w:val="000000" w:themeColor="text1"/>
          <w:shd w:val="clear" w:color="auto" w:fill="FFFFFF"/>
          <w:lang w:val="es-MX"/>
        </w:rPr>
        <w:t>, México</w:t>
      </w:r>
    </w:p>
    <w:p w14:paraId="6C3E4864" w14:textId="67B3F052" w:rsidR="00530558" w:rsidRPr="005B21A8" w:rsidRDefault="003B44F2" w:rsidP="005B21A8">
      <w:pPr>
        <w:spacing w:line="276" w:lineRule="auto"/>
        <w:jc w:val="right"/>
        <w:rPr>
          <w:rFonts w:asciiTheme="minorHAnsi" w:eastAsia="Calibri" w:hAnsiTheme="minorHAnsi" w:cstheme="minorHAnsi"/>
          <w:bCs/>
          <w:color w:val="FF0000"/>
          <w:lang w:val="es-MX"/>
        </w:rPr>
      </w:pPr>
      <w:r w:rsidRPr="005B21A8">
        <w:rPr>
          <w:rFonts w:asciiTheme="minorHAnsi" w:eastAsia="Calibri" w:hAnsiTheme="minorHAnsi" w:cstheme="minorHAnsi"/>
          <w:bCs/>
          <w:color w:val="FF0000"/>
          <w:lang w:val="es-MX"/>
        </w:rPr>
        <w:t>aguilarhernandezpravdaluz@yahoo.com.mx</w:t>
      </w:r>
    </w:p>
    <w:p w14:paraId="4629A581" w14:textId="77777777" w:rsidR="005B21A8" w:rsidRDefault="005B21A8" w:rsidP="005B21A8">
      <w:pPr>
        <w:pStyle w:val="FZ1"/>
        <w:spacing w:before="140" w:line="240" w:lineRule="auto"/>
        <w:jc w:val="left"/>
        <w:rPr>
          <w:rFonts w:ascii="Times New Roman" w:hAnsi="Times New Roman" w:cs="Times New Roman"/>
        </w:rPr>
      </w:pPr>
    </w:p>
    <w:p w14:paraId="4EDA812F" w14:textId="300A2D37" w:rsidR="002E478D" w:rsidRPr="005B21A8" w:rsidRDefault="005B21A8" w:rsidP="005B21A8">
      <w:pPr>
        <w:pStyle w:val="FZ1"/>
        <w:jc w:val="left"/>
        <w:rPr>
          <w:rFonts w:asciiTheme="minorHAnsi" w:hAnsiTheme="minorHAnsi" w:cstheme="minorHAnsi"/>
          <w:sz w:val="28"/>
          <w:szCs w:val="28"/>
        </w:rPr>
      </w:pPr>
      <w:r w:rsidRPr="005B21A8">
        <w:rPr>
          <w:rFonts w:asciiTheme="minorHAnsi" w:hAnsiTheme="minorHAnsi" w:cstheme="minorHAnsi"/>
          <w:sz w:val="28"/>
          <w:szCs w:val="28"/>
        </w:rPr>
        <w:t>Resumen</w:t>
      </w:r>
    </w:p>
    <w:p w14:paraId="2FD81E41" w14:textId="4EB5DD43" w:rsidR="00E164E6" w:rsidRPr="005B21A8" w:rsidRDefault="00E164E6" w:rsidP="005B21A8">
      <w:pPr>
        <w:spacing w:line="360" w:lineRule="auto"/>
        <w:jc w:val="both"/>
        <w:rPr>
          <w:noProof/>
          <w:lang w:val="es-MX" w:eastAsia="es-MX"/>
        </w:rPr>
      </w:pPr>
      <w:r w:rsidRPr="005B21A8">
        <w:rPr>
          <w:noProof/>
          <w:lang w:val="es-MX" w:eastAsia="es-MX"/>
        </w:rPr>
        <w:t xml:space="preserve">El presente documento tiene por objeto describir la evolución de la siembra del arbusto de </w:t>
      </w:r>
      <w:r w:rsidRPr="005B21A8">
        <w:rPr>
          <w:i/>
          <w:iCs/>
          <w:noProof/>
          <w:lang w:val="es-MX" w:eastAsia="es-MX"/>
        </w:rPr>
        <w:t>Atriplex canescens</w:t>
      </w:r>
      <w:r w:rsidRPr="005B21A8">
        <w:rPr>
          <w:noProof/>
          <w:lang w:val="es-MX" w:eastAsia="es-MX"/>
        </w:rPr>
        <w:t xml:space="preserve"> Pursh, Nutt. en cuatro diferentes porcentajes de sustratos de jal según las variables de cantidad de plántulas que brotaron, cantidad de hojas en las plántulas, altura de las plántulas y longitud de las hojas de las plántulas, en condiciones de invernadero. Dado que la evolución de las plántulas está en función de las características fisicoquímicas del jal utilizado como sustrato, se recuperó información inicial de la densidad, la permeabilidad, el pH, la conductividad eléctrica y los niveles de exposición a las concentraciones de plomo a las que se expusieron las semillas de </w:t>
      </w:r>
      <w:r w:rsidRPr="005B21A8">
        <w:rPr>
          <w:i/>
          <w:iCs/>
          <w:noProof/>
          <w:lang w:val="es-MX" w:eastAsia="es-MX"/>
        </w:rPr>
        <w:t>Atriplex canescens</w:t>
      </w:r>
      <w:r w:rsidRPr="005B21A8">
        <w:rPr>
          <w:noProof/>
          <w:lang w:val="es-MX" w:eastAsia="es-MX"/>
        </w:rPr>
        <w:t xml:space="preserve"> Pursh, Nutt. en el jal. Los resultados de las investigaciones realizadas anteriormente en el sitio de estudio han sido precursores para el presente trabajo. Actualmente se está trabajando en un proyecto de mitigación con el uso de plantas, al cual se le está dando seguimiento. Es por esto por lo que el alcance de este trabajo se concreta a la evaluación fuera de sitio del sitio de estudio, en la evolución de la siembra de plantas de </w:t>
      </w:r>
      <w:r w:rsidRPr="005B21A8">
        <w:rPr>
          <w:i/>
          <w:iCs/>
          <w:noProof/>
          <w:lang w:val="es-MX" w:eastAsia="es-MX"/>
        </w:rPr>
        <w:t>Atriplex canescens</w:t>
      </w:r>
      <w:r w:rsidRPr="005B21A8">
        <w:rPr>
          <w:noProof/>
          <w:lang w:val="es-MX" w:eastAsia="es-MX"/>
        </w:rPr>
        <w:t xml:space="preserve"> Pursh, Nutt. utilizando cuatro diferentes porcentajes de jal como sustrato; el desarrollo de este experimento en condiciones de invernadero funciona como apoyo del proyecto de mitigación con la finalidad de evaluar la inmovilización de plomo en raíces</w:t>
      </w:r>
      <w:r w:rsidR="00444DB8" w:rsidRPr="005B21A8">
        <w:rPr>
          <w:noProof/>
          <w:lang w:val="es-MX" w:eastAsia="es-MX"/>
        </w:rPr>
        <w:t>.</w:t>
      </w:r>
    </w:p>
    <w:p w14:paraId="4BBC2F6B" w14:textId="6F77CD6A" w:rsidR="00435BFE" w:rsidRPr="004B5D86" w:rsidRDefault="00435BFE" w:rsidP="005B21A8">
      <w:pPr>
        <w:spacing w:line="360" w:lineRule="auto"/>
        <w:jc w:val="both"/>
        <w:rPr>
          <w:lang w:val="es-419"/>
        </w:rPr>
      </w:pPr>
      <w:r w:rsidRPr="005B21A8">
        <w:rPr>
          <w:rFonts w:asciiTheme="minorHAnsi" w:eastAsiaTheme="minorHAnsi" w:hAnsiTheme="minorHAnsi" w:cstheme="minorHAnsi"/>
          <w:b/>
          <w:bCs/>
          <w:color w:val="000000"/>
          <w:sz w:val="28"/>
          <w:szCs w:val="28"/>
          <w:lang w:val="es-MX"/>
        </w:rPr>
        <w:t>Palabras clave</w:t>
      </w:r>
      <w:r w:rsidR="009339E9" w:rsidRPr="005B21A8">
        <w:rPr>
          <w:rFonts w:asciiTheme="minorHAnsi" w:eastAsiaTheme="minorHAnsi" w:hAnsiTheme="minorHAnsi" w:cstheme="minorHAnsi"/>
          <w:b/>
          <w:bCs/>
          <w:color w:val="000000"/>
          <w:sz w:val="28"/>
          <w:szCs w:val="28"/>
          <w:lang w:val="es-MX"/>
        </w:rPr>
        <w:t>:</w:t>
      </w:r>
      <w:r w:rsidR="009339E9">
        <w:rPr>
          <w:lang w:val="es-419"/>
        </w:rPr>
        <w:t xml:space="preserve"> </w:t>
      </w:r>
      <w:r w:rsidR="00E164E6" w:rsidRPr="00E164E6">
        <w:rPr>
          <w:lang w:val="es-419"/>
        </w:rPr>
        <w:t>evaluación de brotes, jal, plomo, fitoestabilización</w:t>
      </w:r>
    </w:p>
    <w:p w14:paraId="5346D702" w14:textId="6CE71513" w:rsidR="005B21A8" w:rsidRDefault="005B21A8" w:rsidP="005B21A8">
      <w:pPr>
        <w:pStyle w:val="FZ1"/>
        <w:jc w:val="left"/>
        <w:rPr>
          <w:rFonts w:asciiTheme="minorHAnsi" w:hAnsiTheme="minorHAnsi" w:cstheme="minorHAnsi"/>
          <w:sz w:val="28"/>
          <w:szCs w:val="28"/>
        </w:rPr>
      </w:pPr>
    </w:p>
    <w:p w14:paraId="78205DA1" w14:textId="77777777" w:rsidR="005B21A8" w:rsidRDefault="005B21A8" w:rsidP="005B21A8">
      <w:pPr>
        <w:pStyle w:val="FZ1"/>
        <w:jc w:val="left"/>
        <w:rPr>
          <w:rFonts w:asciiTheme="minorHAnsi" w:hAnsiTheme="minorHAnsi" w:cstheme="minorHAnsi"/>
          <w:sz w:val="28"/>
          <w:szCs w:val="28"/>
        </w:rPr>
      </w:pPr>
    </w:p>
    <w:p w14:paraId="5C897E50" w14:textId="09711BDE" w:rsidR="000F1A21" w:rsidRPr="005B21A8" w:rsidRDefault="005B21A8" w:rsidP="005B21A8">
      <w:pPr>
        <w:pStyle w:val="FZ1"/>
        <w:jc w:val="left"/>
        <w:rPr>
          <w:rFonts w:asciiTheme="minorHAnsi" w:hAnsiTheme="minorHAnsi" w:cstheme="minorHAnsi"/>
          <w:sz w:val="28"/>
          <w:szCs w:val="28"/>
        </w:rPr>
      </w:pPr>
      <w:proofErr w:type="spellStart"/>
      <w:r w:rsidRPr="005B21A8">
        <w:rPr>
          <w:rFonts w:asciiTheme="minorHAnsi" w:hAnsiTheme="minorHAnsi" w:cstheme="minorHAnsi"/>
          <w:sz w:val="28"/>
          <w:szCs w:val="28"/>
        </w:rPr>
        <w:lastRenderedPageBreak/>
        <w:t>Abstract</w:t>
      </w:r>
      <w:proofErr w:type="spellEnd"/>
    </w:p>
    <w:p w14:paraId="52DC634A" w14:textId="662BF4CC" w:rsidR="005E15EB" w:rsidRPr="0037496B" w:rsidRDefault="00E164E6" w:rsidP="005B21A8">
      <w:pPr>
        <w:spacing w:line="360" w:lineRule="auto"/>
        <w:jc w:val="both"/>
      </w:pPr>
      <w:r w:rsidRPr="00E164E6">
        <w:rPr>
          <w:noProof/>
          <w:lang w:eastAsia="es-MX"/>
        </w:rPr>
        <w:t xml:space="preserve">The purpose of this document is to describe the evolution of the planting of the </w:t>
      </w:r>
      <w:r w:rsidRPr="00E164E6">
        <w:rPr>
          <w:i/>
          <w:iCs/>
          <w:noProof/>
          <w:lang w:eastAsia="es-MX"/>
        </w:rPr>
        <w:t>Atriplex canescens</w:t>
      </w:r>
      <w:r w:rsidRPr="00E164E6">
        <w:rPr>
          <w:noProof/>
          <w:lang w:eastAsia="es-MX"/>
        </w:rPr>
        <w:t xml:space="preserve"> Pursh, Nutt. shrub into four different percentages of tail substrates according to the variables of the number of seedlings that sprouted, the number of leaves in the seedlings, the height of the seedlings, and the length of the seedling leaves, under greenhouse conditions. Since the evolution of seedlings is based on the physicochemical characteristics of the tail used as a substrate, initial information on density, permeability, pH, electrical conductivity, and exposure levels to lead concentrations to which </w:t>
      </w:r>
      <w:r w:rsidRPr="00E164E6">
        <w:rPr>
          <w:i/>
          <w:iCs/>
          <w:noProof/>
          <w:lang w:eastAsia="es-MX"/>
        </w:rPr>
        <w:t>Atriplex canescens</w:t>
      </w:r>
      <w:r w:rsidRPr="00E164E6">
        <w:rPr>
          <w:noProof/>
          <w:lang w:eastAsia="es-MX"/>
        </w:rPr>
        <w:t xml:space="preserve"> Pursh, Nutt. seeds were exposed in the tail was retrieved. The results of the research previously conducted on the study site have been precursors to this work. Work is currently underway on a plant mitigation project, which is being tracked. Therefore, the reach of this work is realized to the off-site evaluation of the study site, in the evolution of the planting of </w:t>
      </w:r>
      <w:r w:rsidRPr="00E164E6">
        <w:rPr>
          <w:i/>
          <w:iCs/>
          <w:noProof/>
          <w:lang w:eastAsia="es-MX"/>
        </w:rPr>
        <w:t>Atriplex canescens</w:t>
      </w:r>
      <w:r w:rsidRPr="00E164E6">
        <w:rPr>
          <w:noProof/>
          <w:lang w:eastAsia="es-MX"/>
        </w:rPr>
        <w:t xml:space="preserve"> Pursh, Nutt. plants using four different percentages of the tail as substrate; the development of this experiment under greenhouse conditions works to support the mitigation project to evaluate root lead immobilization.</w:t>
      </w:r>
    </w:p>
    <w:p w14:paraId="49B70789" w14:textId="4C9F4CB0" w:rsidR="00F204BE" w:rsidRDefault="000F1A21" w:rsidP="005B21A8">
      <w:pPr>
        <w:spacing w:line="360" w:lineRule="auto"/>
        <w:jc w:val="both"/>
        <w:rPr>
          <w:noProof/>
          <w:lang w:eastAsia="es-MX"/>
        </w:rPr>
      </w:pPr>
      <w:r w:rsidRPr="005B21A8">
        <w:rPr>
          <w:rFonts w:asciiTheme="minorHAnsi" w:eastAsiaTheme="minorHAnsi" w:hAnsiTheme="minorHAnsi" w:cstheme="minorHAnsi"/>
          <w:b/>
          <w:bCs/>
          <w:color w:val="000000"/>
          <w:sz w:val="28"/>
          <w:szCs w:val="28"/>
          <w:lang w:val="es-MX"/>
        </w:rPr>
        <w:t>Keywords</w:t>
      </w:r>
      <w:r w:rsidR="009339E9" w:rsidRPr="005B21A8">
        <w:rPr>
          <w:rFonts w:asciiTheme="minorHAnsi" w:eastAsiaTheme="minorHAnsi" w:hAnsiTheme="minorHAnsi" w:cstheme="minorHAnsi"/>
          <w:b/>
          <w:bCs/>
          <w:color w:val="000000"/>
          <w:sz w:val="28"/>
          <w:szCs w:val="28"/>
          <w:lang w:val="es-MX"/>
        </w:rPr>
        <w:t>:</w:t>
      </w:r>
      <w:r w:rsidR="009339E9">
        <w:rPr>
          <w:noProof/>
          <w:lang w:eastAsia="es-MX"/>
        </w:rPr>
        <w:t xml:space="preserve"> </w:t>
      </w:r>
      <w:r w:rsidR="00E164E6" w:rsidRPr="00E164E6">
        <w:rPr>
          <w:noProof/>
          <w:lang w:eastAsia="es-MX"/>
        </w:rPr>
        <w:t>seed emergence, tail, lead, phytostabilization</w:t>
      </w:r>
      <w:r w:rsidR="00F204BE">
        <w:rPr>
          <w:noProof/>
          <w:lang w:eastAsia="es-MX"/>
        </w:rPr>
        <w:t>.</w:t>
      </w:r>
    </w:p>
    <w:p w14:paraId="7E436011" w14:textId="77777777" w:rsidR="005B21A8" w:rsidRDefault="005B21A8" w:rsidP="005B21A8">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Diciembre 2020</w:t>
      </w:r>
    </w:p>
    <w:p w14:paraId="164DE417" w14:textId="79C9743E" w:rsidR="005B21A8" w:rsidRDefault="005B21A8" w:rsidP="005B21A8">
      <w:pPr>
        <w:jc w:val="both"/>
        <w:rPr>
          <w:noProof/>
          <w:lang w:eastAsia="es-MX"/>
        </w:rPr>
      </w:pPr>
      <w:r>
        <w:pict w14:anchorId="04F9CD3D">
          <v:rect id="_x0000_i1026" style="width:446.5pt;height:1.5pt" o:hralign="center" o:hrstd="t" o:hr="t" fillcolor="#a0a0a0" stroked="f"/>
        </w:pict>
      </w:r>
    </w:p>
    <w:p w14:paraId="5849FE04" w14:textId="37ABE59E" w:rsidR="002B394C" w:rsidRPr="005B21A8" w:rsidRDefault="005B21A8" w:rsidP="00AB4863">
      <w:pPr>
        <w:pStyle w:val="FZ1"/>
        <w:spacing w:before="140" w:line="240" w:lineRule="auto"/>
        <w:rPr>
          <w:rFonts w:ascii="Times New Roman" w:hAnsi="Times New Roman" w:cs="Times New Roman"/>
          <w:sz w:val="32"/>
          <w:szCs w:val="32"/>
        </w:rPr>
      </w:pPr>
      <w:r w:rsidRPr="005B21A8">
        <w:rPr>
          <w:rFonts w:ascii="Times New Roman" w:hAnsi="Times New Roman" w:cs="Times New Roman"/>
          <w:sz w:val="32"/>
          <w:szCs w:val="32"/>
        </w:rPr>
        <w:t>Introducción</w:t>
      </w:r>
    </w:p>
    <w:p w14:paraId="319DCF2F" w14:textId="0220EA75" w:rsidR="00435BFE" w:rsidRPr="0037496B" w:rsidRDefault="00E164E6" w:rsidP="005B21A8">
      <w:pPr>
        <w:spacing w:line="360" w:lineRule="auto"/>
        <w:jc w:val="both"/>
        <w:rPr>
          <w:lang w:val="es-419"/>
        </w:rPr>
      </w:pPr>
      <w:r>
        <w:rPr>
          <w:noProof/>
          <w:lang w:val="es-419" w:eastAsia="es-MX"/>
        </w:rPr>
        <w:t>L</w:t>
      </w:r>
      <w:r w:rsidRPr="00E164E6">
        <w:rPr>
          <w:noProof/>
          <w:lang w:val="es-419" w:eastAsia="es-MX"/>
        </w:rPr>
        <w:t xml:space="preserve">a mitigación del suelo contaminado por jales mineros a través del tiempo en el sitio de estudio se ha ido definiendo por la caracterización del sitio y por la información de las concentraciones de plomo que se han realizado mediante el trabajo de campo y los datos bibliográficos. El uso de la ecotecnología aplicada para la mitigación se clasifica como </w:t>
      </w:r>
      <w:r w:rsidRPr="00E164E6">
        <w:rPr>
          <w:i/>
          <w:iCs/>
          <w:noProof/>
          <w:lang w:val="es-419" w:eastAsia="es-MX"/>
        </w:rPr>
        <w:t>in situ</w:t>
      </w:r>
      <w:r w:rsidRPr="00E164E6">
        <w:rPr>
          <w:noProof/>
          <w:lang w:val="es-419" w:eastAsia="es-MX"/>
        </w:rPr>
        <w:t xml:space="preserve">, sin remoción del suelo contaminado, biológica, de fitorremediación, específicamente de fitoestabilización, como medida de fitorremediación con el uso de plantas para depurar el suelo contaminado (Santos </w:t>
      </w:r>
      <w:r w:rsidRPr="00E164E6">
        <w:rPr>
          <w:i/>
          <w:iCs/>
          <w:noProof/>
          <w:lang w:val="es-419" w:eastAsia="es-MX"/>
        </w:rPr>
        <w:t>et al</w:t>
      </w:r>
      <w:r w:rsidRPr="00E164E6">
        <w:rPr>
          <w:noProof/>
          <w:lang w:val="es-419" w:eastAsia="es-MX"/>
        </w:rPr>
        <w:t xml:space="preserve">., 2017; Lan </w:t>
      </w:r>
      <w:r w:rsidRPr="00E164E6">
        <w:rPr>
          <w:i/>
          <w:iCs/>
          <w:noProof/>
          <w:lang w:val="es-419" w:eastAsia="es-MX"/>
        </w:rPr>
        <w:t>et al</w:t>
      </w:r>
      <w:r w:rsidRPr="00E164E6">
        <w:rPr>
          <w:noProof/>
          <w:lang w:val="es-419" w:eastAsia="es-MX"/>
        </w:rPr>
        <w:t xml:space="preserve">., 2020). Esta medida es una técnica pasiva y estéticamente agradable por su impacto visual, y es útil en suelos con contaminación superficial (Burges </w:t>
      </w:r>
      <w:r w:rsidRPr="00E164E6">
        <w:rPr>
          <w:i/>
          <w:iCs/>
          <w:noProof/>
          <w:lang w:val="es-419" w:eastAsia="es-MX"/>
        </w:rPr>
        <w:t>et al</w:t>
      </w:r>
      <w:r w:rsidRPr="00E164E6">
        <w:rPr>
          <w:noProof/>
          <w:lang w:val="es-419" w:eastAsia="es-MX"/>
        </w:rPr>
        <w:t xml:space="preserve">., 2017). De esta manera, las plantas pueden actuar como inmovilizadores de contaminantes (Zhang </w:t>
      </w:r>
      <w:r w:rsidRPr="00E164E6">
        <w:rPr>
          <w:i/>
          <w:iCs/>
          <w:noProof/>
          <w:lang w:val="es-419" w:eastAsia="es-MX"/>
        </w:rPr>
        <w:t>et al</w:t>
      </w:r>
      <w:r w:rsidRPr="00E164E6">
        <w:rPr>
          <w:noProof/>
          <w:lang w:val="es-419" w:eastAsia="es-MX"/>
        </w:rPr>
        <w:t xml:space="preserve">., 2020). Hidalgo del Parral, Chihuahua, es uno de los distritos mineros importantes de México, que se caracterizó desde su fundación hace 300 años como potencia minera, sin embargo, fue generadora de jales mineros que se han convertido en un pasivo ambiental. Se han realizado estudios previos en la zona, por Luis Adrián Barraza Torres en 2015 con el “Diseño de experimentos para la posterior </w:t>
      </w:r>
      <w:r w:rsidRPr="00E164E6">
        <w:rPr>
          <w:noProof/>
          <w:lang w:val="es-419" w:eastAsia="es-MX"/>
        </w:rPr>
        <w:lastRenderedPageBreak/>
        <w:t xml:space="preserve">estabilización/solidificación de residuos mineros”, y la “Evaluación de la contaminación del suelo por arsénico, plomo y mercurio en la zona de la presa de jales de Mina La Prieta en Hidalgo del Parral, Chihuahua”. Por esta razón, los criterios de selección de la especie de </w:t>
      </w:r>
      <w:r w:rsidRPr="00E164E6">
        <w:rPr>
          <w:i/>
          <w:iCs/>
          <w:noProof/>
          <w:lang w:val="es-419" w:eastAsia="es-MX"/>
        </w:rPr>
        <w:t>Atriplex canescens</w:t>
      </w:r>
      <w:r w:rsidRPr="00E164E6">
        <w:rPr>
          <w:noProof/>
          <w:lang w:val="es-419" w:eastAsia="es-MX"/>
        </w:rPr>
        <w:t xml:space="preserve"> Pursh, Nutt. y el porcentaje de sustratos fueron definidos para dar seguimiento al proyecto de “Evaluación de la situación actual para la mitigación de los impactos ambientales de la actividad minera”, siguiendo el estudio realizado por Luis Miguel Rodríguez Vázquez en 2020 con la “Identificación y selección de plantas regionales con potencial para fitorremediación en jales mineros abandonados”. El objetivo del presente trabajo fue evaluar la aparición de brotes de </w:t>
      </w:r>
      <w:r w:rsidRPr="00E164E6">
        <w:rPr>
          <w:i/>
          <w:iCs/>
          <w:noProof/>
          <w:lang w:val="es-419" w:eastAsia="es-MX"/>
        </w:rPr>
        <w:t>Atriplex canescens</w:t>
      </w:r>
      <w:r w:rsidRPr="00E164E6">
        <w:rPr>
          <w:noProof/>
          <w:lang w:val="es-419" w:eastAsia="es-MX"/>
        </w:rPr>
        <w:t xml:space="preserve"> Pursh, Nutt., y el efecto de los porcentajes de jal utilizado como sustrato en la evolución de las plántulas</w:t>
      </w:r>
      <w:r w:rsidR="00594497" w:rsidRPr="004B5D86">
        <w:rPr>
          <w:lang w:val="es-419"/>
        </w:rPr>
        <w:t>.</w:t>
      </w:r>
    </w:p>
    <w:p w14:paraId="6420721C" w14:textId="77777777" w:rsidR="005B21A8" w:rsidRDefault="005B21A8" w:rsidP="005B21A8">
      <w:pPr>
        <w:pStyle w:val="FZ1"/>
        <w:rPr>
          <w:rFonts w:ascii="Times New Roman" w:hAnsi="Times New Roman" w:cs="Times New Roman"/>
        </w:rPr>
      </w:pPr>
      <w:bookmarkStart w:id="1" w:name="_Toc26857931"/>
    </w:p>
    <w:p w14:paraId="2EDDA2F3" w14:textId="6F22FCFB" w:rsidR="00866177" w:rsidRPr="005B21A8" w:rsidRDefault="005B21A8" w:rsidP="005B21A8">
      <w:pPr>
        <w:pStyle w:val="FZ1"/>
        <w:rPr>
          <w:rFonts w:ascii="Times New Roman" w:hAnsi="Times New Roman" w:cs="Times New Roman"/>
          <w:sz w:val="32"/>
          <w:szCs w:val="32"/>
        </w:rPr>
      </w:pPr>
      <w:r w:rsidRPr="005B21A8">
        <w:rPr>
          <w:rFonts w:ascii="Times New Roman" w:hAnsi="Times New Roman" w:cs="Times New Roman"/>
          <w:sz w:val="32"/>
          <w:szCs w:val="32"/>
        </w:rPr>
        <w:t>Materiales y métodos</w:t>
      </w:r>
      <w:bookmarkEnd w:id="1"/>
    </w:p>
    <w:p w14:paraId="49D56EA0" w14:textId="1B0AC59B" w:rsidR="0000089A" w:rsidRDefault="00E164E6" w:rsidP="005B21A8">
      <w:pPr>
        <w:pStyle w:val="Estilo2"/>
        <w:spacing w:line="360" w:lineRule="auto"/>
        <w:rPr>
          <w:rFonts w:ascii="Times New Roman" w:eastAsia="Times New Roman" w:hAnsi="Times New Roman" w:cs="Times New Roman"/>
          <w:b w:val="0"/>
          <w:color w:val="auto"/>
          <w:kern w:val="36"/>
          <w:lang w:val="es-419" w:eastAsia="es-MX"/>
        </w:rPr>
      </w:pPr>
      <w:r w:rsidRPr="00E164E6">
        <w:rPr>
          <w:rFonts w:ascii="Times New Roman" w:eastAsia="Times New Roman" w:hAnsi="Times New Roman" w:cs="Times New Roman"/>
          <w:b w:val="0"/>
          <w:color w:val="auto"/>
          <w:kern w:val="36"/>
          <w:lang w:val="es-419" w:eastAsia="es-MX"/>
        </w:rPr>
        <w:t xml:space="preserve">El experimento en condiciones de invernadero inició el 22 de agosto de 2020, por medio de siembra directa con semilla de </w:t>
      </w:r>
      <w:proofErr w:type="spellStart"/>
      <w:r w:rsidRPr="00E164E6">
        <w:rPr>
          <w:rFonts w:ascii="Times New Roman" w:eastAsia="Times New Roman" w:hAnsi="Times New Roman" w:cs="Times New Roman"/>
          <w:b w:val="0"/>
          <w:i/>
          <w:iCs/>
          <w:color w:val="auto"/>
          <w:kern w:val="36"/>
          <w:lang w:val="es-419" w:eastAsia="es-MX"/>
        </w:rPr>
        <w:t>Atriplex</w:t>
      </w:r>
      <w:proofErr w:type="spellEnd"/>
      <w:r w:rsidRPr="00E164E6">
        <w:rPr>
          <w:rFonts w:ascii="Times New Roman" w:eastAsia="Times New Roman" w:hAnsi="Times New Roman" w:cs="Times New Roman"/>
          <w:b w:val="0"/>
          <w:i/>
          <w:iCs/>
          <w:color w:val="auto"/>
          <w:kern w:val="36"/>
          <w:lang w:val="es-419" w:eastAsia="es-MX"/>
        </w:rPr>
        <w:t xml:space="preserve"> </w:t>
      </w:r>
      <w:proofErr w:type="spellStart"/>
      <w:r w:rsidRPr="00E164E6">
        <w:rPr>
          <w:rFonts w:ascii="Times New Roman" w:eastAsia="Times New Roman" w:hAnsi="Times New Roman" w:cs="Times New Roman"/>
          <w:b w:val="0"/>
          <w:i/>
          <w:iCs/>
          <w:color w:val="auto"/>
          <w:kern w:val="36"/>
          <w:lang w:val="es-419" w:eastAsia="es-MX"/>
        </w:rPr>
        <w:t>canescens</w:t>
      </w:r>
      <w:proofErr w:type="spellEnd"/>
      <w:r w:rsidRPr="00E164E6">
        <w:rPr>
          <w:rFonts w:ascii="Times New Roman" w:eastAsia="Times New Roman" w:hAnsi="Times New Roman" w:cs="Times New Roman"/>
          <w:b w:val="0"/>
          <w:color w:val="auto"/>
          <w:kern w:val="36"/>
          <w:lang w:val="es-419" w:eastAsia="es-MX"/>
        </w:rPr>
        <w:t xml:space="preserve"> </w:t>
      </w:r>
      <w:proofErr w:type="spellStart"/>
      <w:r w:rsidRPr="00E164E6">
        <w:rPr>
          <w:rFonts w:ascii="Times New Roman" w:eastAsia="Times New Roman" w:hAnsi="Times New Roman" w:cs="Times New Roman"/>
          <w:b w:val="0"/>
          <w:color w:val="auto"/>
          <w:kern w:val="36"/>
          <w:lang w:val="es-419" w:eastAsia="es-MX"/>
        </w:rPr>
        <w:t>Pursh</w:t>
      </w:r>
      <w:proofErr w:type="spellEnd"/>
      <w:r w:rsidRPr="00E164E6">
        <w:rPr>
          <w:rFonts w:ascii="Times New Roman" w:eastAsia="Times New Roman" w:hAnsi="Times New Roman" w:cs="Times New Roman"/>
          <w:b w:val="0"/>
          <w:color w:val="auto"/>
          <w:kern w:val="36"/>
          <w:lang w:val="es-419" w:eastAsia="es-MX"/>
        </w:rPr>
        <w:t xml:space="preserve">, Nutt. La semilla fue escarificada de forma mecánica frotando la semilla sobre una malla metálica fina (Hartmann </w:t>
      </w:r>
      <w:r w:rsidRPr="00E164E6">
        <w:rPr>
          <w:rFonts w:ascii="Times New Roman" w:eastAsia="Times New Roman" w:hAnsi="Times New Roman" w:cs="Times New Roman"/>
          <w:b w:val="0"/>
          <w:i/>
          <w:iCs/>
          <w:color w:val="auto"/>
          <w:kern w:val="36"/>
          <w:lang w:val="es-419" w:eastAsia="es-MX"/>
        </w:rPr>
        <w:t>et al</w:t>
      </w:r>
      <w:r w:rsidRPr="00E164E6">
        <w:rPr>
          <w:rFonts w:ascii="Times New Roman" w:eastAsia="Times New Roman" w:hAnsi="Times New Roman" w:cs="Times New Roman"/>
          <w:b w:val="0"/>
          <w:color w:val="auto"/>
          <w:kern w:val="36"/>
          <w:lang w:val="es-419" w:eastAsia="es-MX"/>
        </w:rPr>
        <w:t xml:space="preserve">., 1974; Molina, 1992; Valdez </w:t>
      </w:r>
      <w:r w:rsidRPr="00E164E6">
        <w:rPr>
          <w:rFonts w:ascii="Times New Roman" w:eastAsia="Times New Roman" w:hAnsi="Times New Roman" w:cs="Times New Roman"/>
          <w:b w:val="0"/>
          <w:i/>
          <w:iCs/>
          <w:color w:val="auto"/>
          <w:kern w:val="36"/>
          <w:lang w:val="es-419" w:eastAsia="es-MX"/>
        </w:rPr>
        <w:t>et al</w:t>
      </w:r>
      <w:r w:rsidRPr="00E164E6">
        <w:rPr>
          <w:rFonts w:ascii="Times New Roman" w:eastAsia="Times New Roman" w:hAnsi="Times New Roman" w:cs="Times New Roman"/>
          <w:b w:val="0"/>
          <w:color w:val="auto"/>
          <w:kern w:val="36"/>
          <w:lang w:val="es-419" w:eastAsia="es-MX"/>
        </w:rPr>
        <w:t xml:space="preserve">., 2003). Las semillas fueron colocadas bajo remojo por 48 horas previas a su siembra (Molina, 1992; Valdez </w:t>
      </w:r>
      <w:r w:rsidRPr="00E164E6">
        <w:rPr>
          <w:rFonts w:ascii="Times New Roman" w:eastAsia="Times New Roman" w:hAnsi="Times New Roman" w:cs="Times New Roman"/>
          <w:b w:val="0"/>
          <w:i/>
          <w:iCs/>
          <w:color w:val="auto"/>
          <w:kern w:val="36"/>
          <w:lang w:val="es-419" w:eastAsia="es-MX"/>
        </w:rPr>
        <w:t>et al</w:t>
      </w:r>
      <w:r w:rsidRPr="00E164E6">
        <w:rPr>
          <w:rFonts w:ascii="Times New Roman" w:eastAsia="Times New Roman" w:hAnsi="Times New Roman" w:cs="Times New Roman"/>
          <w:b w:val="0"/>
          <w:color w:val="auto"/>
          <w:kern w:val="36"/>
          <w:lang w:val="es-419" w:eastAsia="es-MX"/>
        </w:rPr>
        <w:t>., 2003). Se utilizaron 48 macetas de 15 centímetros de altura y 15 centímetros de diámetro. Se sembraron 50 semillas en cada una de las macetas. Los sustratos se dividieron en cuatro tratamientos diferentes según el porcentaje de jal, con 12 repeticiones cada uno. La composición de los sustratos es una mezcla porcentual de composta, zeolita y jal (</w:t>
      </w:r>
      <w:proofErr w:type="spellStart"/>
      <w:r w:rsidRPr="00E164E6">
        <w:rPr>
          <w:rFonts w:ascii="Times New Roman" w:eastAsia="Times New Roman" w:hAnsi="Times New Roman" w:cs="Times New Roman"/>
          <w:b w:val="0"/>
          <w:color w:val="auto"/>
          <w:kern w:val="36"/>
          <w:lang w:val="es-419" w:eastAsia="es-MX"/>
        </w:rPr>
        <w:t>Mamdouh</w:t>
      </w:r>
      <w:proofErr w:type="spellEnd"/>
      <w:r w:rsidRPr="00E164E6">
        <w:rPr>
          <w:rFonts w:ascii="Times New Roman" w:eastAsia="Times New Roman" w:hAnsi="Times New Roman" w:cs="Times New Roman"/>
          <w:b w:val="0"/>
          <w:color w:val="auto"/>
          <w:kern w:val="36"/>
          <w:lang w:val="es-419" w:eastAsia="es-MX"/>
        </w:rPr>
        <w:t xml:space="preserve">, 2015; Rodríguez </w:t>
      </w:r>
      <w:r w:rsidRPr="00E164E6">
        <w:rPr>
          <w:rFonts w:ascii="Times New Roman" w:eastAsia="Times New Roman" w:hAnsi="Times New Roman" w:cs="Times New Roman"/>
          <w:b w:val="0"/>
          <w:i/>
          <w:iCs/>
          <w:color w:val="auto"/>
          <w:kern w:val="36"/>
          <w:lang w:val="es-419" w:eastAsia="es-MX"/>
        </w:rPr>
        <w:t>et al</w:t>
      </w:r>
      <w:r w:rsidRPr="00E164E6">
        <w:rPr>
          <w:rFonts w:ascii="Times New Roman" w:eastAsia="Times New Roman" w:hAnsi="Times New Roman" w:cs="Times New Roman"/>
          <w:b w:val="0"/>
          <w:color w:val="auto"/>
          <w:kern w:val="36"/>
          <w:lang w:val="es-419" w:eastAsia="es-MX"/>
        </w:rPr>
        <w:t>., 2020). El jal fue obtenido de la mina La Prieta, Hidalgo del Parral, Chihuahua. Las proporciones para el tratamiento 1 son de 10% composta, 6.6% zeolita, 83.4% jal; para el tratamiento 2 son de 10% composta, 13.3% zeolita, 76.7% jal; para el tratamiento 3 son de 20% composta, 6.6% zeolita, 73.4% jal; para el tratamiento 4 son de 20% composta, 13.3% zeolita, 66.7% jal (Tabla 1).</w:t>
      </w:r>
    </w:p>
    <w:p w14:paraId="074B7E90" w14:textId="77777777" w:rsidR="005B21A8" w:rsidRDefault="005B21A8" w:rsidP="005B21A8">
      <w:pPr>
        <w:pStyle w:val="Estilo2"/>
        <w:spacing w:line="360" w:lineRule="auto"/>
        <w:rPr>
          <w:rFonts w:ascii="Times New Roman" w:eastAsia="Times New Roman" w:hAnsi="Times New Roman" w:cs="Times New Roman"/>
          <w:b w:val="0"/>
          <w:color w:val="auto"/>
          <w:kern w:val="36"/>
          <w:lang w:val="es-419" w:eastAsia="es-MX"/>
        </w:rPr>
      </w:pPr>
    </w:p>
    <w:p w14:paraId="40945998" w14:textId="77777777" w:rsidR="00E164E6" w:rsidRPr="005B21A8" w:rsidRDefault="00E164E6" w:rsidP="00F70CE6">
      <w:pPr>
        <w:jc w:val="center"/>
        <w:rPr>
          <w:lang w:val="es-MX"/>
        </w:rPr>
      </w:pPr>
      <w:r w:rsidRPr="005B21A8">
        <w:rPr>
          <w:b/>
          <w:bCs/>
          <w:lang w:val="es-MX"/>
        </w:rPr>
        <w:t>Tabla 1</w:t>
      </w:r>
      <w:r w:rsidRPr="005B21A8">
        <w:rPr>
          <w:lang w:val="es-MX"/>
        </w:rPr>
        <w:t>: Composición Porcentual del Sustrato Utilizado para los Cuatro Tratamientos</w:t>
      </w:r>
    </w:p>
    <w:tbl>
      <w:tblPr>
        <w:tblW w:w="3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610"/>
        <w:gridCol w:w="1409"/>
        <w:gridCol w:w="1409"/>
      </w:tblGrid>
      <w:tr w:rsidR="00E164E6" w:rsidRPr="00F70CE6" w14:paraId="3716B097" w14:textId="77777777" w:rsidTr="00BF4603">
        <w:trPr>
          <w:trHeight w:val="288"/>
          <w:jc w:val="center"/>
        </w:trPr>
        <w:tc>
          <w:tcPr>
            <w:tcW w:w="1249" w:type="pct"/>
            <w:tcBorders>
              <w:top w:val="single" w:sz="4" w:space="0" w:color="auto"/>
              <w:left w:val="single" w:sz="4" w:space="0" w:color="auto"/>
              <w:bottom w:val="single" w:sz="4" w:space="0" w:color="auto"/>
              <w:right w:val="nil"/>
            </w:tcBorders>
            <w:shd w:val="clear" w:color="auto" w:fill="auto"/>
            <w:noWrap/>
            <w:hideMark/>
          </w:tcPr>
          <w:p w14:paraId="163E056C" w14:textId="77777777" w:rsidR="00E164E6" w:rsidRPr="005B21A8" w:rsidRDefault="00E164E6" w:rsidP="00C45843">
            <w:pPr>
              <w:jc w:val="both"/>
              <w:rPr>
                <w:lang w:val="es-MX"/>
              </w:rPr>
            </w:pPr>
          </w:p>
        </w:tc>
        <w:tc>
          <w:tcPr>
            <w:tcW w:w="1250" w:type="pct"/>
            <w:tcBorders>
              <w:top w:val="single" w:sz="4" w:space="0" w:color="auto"/>
              <w:left w:val="nil"/>
              <w:bottom w:val="single" w:sz="4" w:space="0" w:color="auto"/>
              <w:right w:val="nil"/>
            </w:tcBorders>
            <w:shd w:val="clear" w:color="auto" w:fill="auto"/>
            <w:noWrap/>
            <w:hideMark/>
          </w:tcPr>
          <w:p w14:paraId="6462B49B" w14:textId="77777777" w:rsidR="00E164E6" w:rsidRPr="00F70CE6" w:rsidRDefault="00E164E6" w:rsidP="00F70CE6">
            <w:pPr>
              <w:jc w:val="center"/>
            </w:pPr>
            <w:proofErr w:type="spellStart"/>
            <w:r w:rsidRPr="00F70CE6">
              <w:t>Composta</w:t>
            </w:r>
            <w:proofErr w:type="spellEnd"/>
            <w:r w:rsidRPr="00F70CE6">
              <w:t xml:space="preserve"> (%)</w:t>
            </w:r>
          </w:p>
        </w:tc>
        <w:tc>
          <w:tcPr>
            <w:tcW w:w="1250" w:type="pct"/>
            <w:tcBorders>
              <w:top w:val="single" w:sz="4" w:space="0" w:color="auto"/>
              <w:left w:val="nil"/>
              <w:bottom w:val="single" w:sz="4" w:space="0" w:color="auto"/>
              <w:right w:val="nil"/>
            </w:tcBorders>
            <w:shd w:val="clear" w:color="auto" w:fill="auto"/>
            <w:noWrap/>
            <w:hideMark/>
          </w:tcPr>
          <w:p w14:paraId="39B79D3D" w14:textId="77777777" w:rsidR="00E164E6" w:rsidRPr="00F70CE6" w:rsidRDefault="00E164E6" w:rsidP="00F70CE6">
            <w:pPr>
              <w:jc w:val="center"/>
            </w:pPr>
            <w:r w:rsidRPr="00F70CE6">
              <w:t>Zeolita (%)</w:t>
            </w:r>
          </w:p>
        </w:tc>
        <w:tc>
          <w:tcPr>
            <w:tcW w:w="1250" w:type="pct"/>
            <w:tcBorders>
              <w:top w:val="single" w:sz="4" w:space="0" w:color="auto"/>
              <w:left w:val="nil"/>
              <w:bottom w:val="single" w:sz="4" w:space="0" w:color="auto"/>
              <w:right w:val="single" w:sz="4" w:space="0" w:color="auto"/>
            </w:tcBorders>
            <w:shd w:val="clear" w:color="auto" w:fill="auto"/>
            <w:noWrap/>
            <w:hideMark/>
          </w:tcPr>
          <w:p w14:paraId="5417FB76" w14:textId="77777777" w:rsidR="00E164E6" w:rsidRPr="00F70CE6" w:rsidRDefault="00E164E6" w:rsidP="00F70CE6">
            <w:pPr>
              <w:jc w:val="center"/>
            </w:pPr>
            <w:r w:rsidRPr="00F70CE6">
              <w:t>Jal (%)</w:t>
            </w:r>
          </w:p>
        </w:tc>
      </w:tr>
      <w:tr w:rsidR="00E164E6" w:rsidRPr="00F70CE6" w14:paraId="5CECF33D" w14:textId="77777777" w:rsidTr="00BF4603">
        <w:trPr>
          <w:trHeight w:val="288"/>
          <w:jc w:val="center"/>
        </w:trPr>
        <w:tc>
          <w:tcPr>
            <w:tcW w:w="1249" w:type="pct"/>
            <w:tcBorders>
              <w:top w:val="single" w:sz="4" w:space="0" w:color="auto"/>
              <w:left w:val="single" w:sz="4" w:space="0" w:color="auto"/>
              <w:bottom w:val="nil"/>
              <w:right w:val="nil"/>
            </w:tcBorders>
            <w:shd w:val="clear" w:color="auto" w:fill="auto"/>
            <w:noWrap/>
            <w:hideMark/>
          </w:tcPr>
          <w:p w14:paraId="7C8158B5" w14:textId="77777777" w:rsidR="00E164E6" w:rsidRPr="00F70CE6" w:rsidRDefault="00E164E6" w:rsidP="00C45843">
            <w:pPr>
              <w:jc w:val="both"/>
            </w:pPr>
            <w:r w:rsidRPr="00F70CE6">
              <w:t>T1</w:t>
            </w:r>
          </w:p>
        </w:tc>
        <w:tc>
          <w:tcPr>
            <w:tcW w:w="1250" w:type="pct"/>
            <w:tcBorders>
              <w:top w:val="single" w:sz="4" w:space="0" w:color="auto"/>
              <w:left w:val="nil"/>
              <w:bottom w:val="nil"/>
              <w:right w:val="nil"/>
            </w:tcBorders>
            <w:shd w:val="clear" w:color="auto" w:fill="auto"/>
            <w:noWrap/>
            <w:hideMark/>
          </w:tcPr>
          <w:p w14:paraId="09351F61" w14:textId="77777777" w:rsidR="00E164E6" w:rsidRPr="00F70CE6" w:rsidRDefault="00E164E6" w:rsidP="00F70CE6">
            <w:pPr>
              <w:jc w:val="center"/>
            </w:pPr>
            <w:r w:rsidRPr="00F70CE6">
              <w:t>10</w:t>
            </w:r>
          </w:p>
        </w:tc>
        <w:tc>
          <w:tcPr>
            <w:tcW w:w="1250" w:type="pct"/>
            <w:tcBorders>
              <w:top w:val="single" w:sz="4" w:space="0" w:color="auto"/>
              <w:left w:val="nil"/>
              <w:bottom w:val="nil"/>
              <w:right w:val="nil"/>
            </w:tcBorders>
            <w:shd w:val="clear" w:color="auto" w:fill="auto"/>
            <w:noWrap/>
            <w:hideMark/>
          </w:tcPr>
          <w:p w14:paraId="56017705" w14:textId="77777777" w:rsidR="00E164E6" w:rsidRPr="00F70CE6" w:rsidRDefault="00E164E6" w:rsidP="00F70CE6">
            <w:pPr>
              <w:jc w:val="center"/>
            </w:pPr>
            <w:r w:rsidRPr="00F70CE6">
              <w:t>6.6</w:t>
            </w:r>
          </w:p>
        </w:tc>
        <w:tc>
          <w:tcPr>
            <w:tcW w:w="1250" w:type="pct"/>
            <w:tcBorders>
              <w:top w:val="single" w:sz="4" w:space="0" w:color="auto"/>
              <w:left w:val="nil"/>
              <w:bottom w:val="nil"/>
              <w:right w:val="single" w:sz="4" w:space="0" w:color="auto"/>
            </w:tcBorders>
            <w:shd w:val="clear" w:color="auto" w:fill="auto"/>
            <w:noWrap/>
            <w:hideMark/>
          </w:tcPr>
          <w:p w14:paraId="113FF028" w14:textId="77777777" w:rsidR="00E164E6" w:rsidRPr="00F70CE6" w:rsidRDefault="00E164E6" w:rsidP="00F70CE6">
            <w:pPr>
              <w:jc w:val="center"/>
            </w:pPr>
            <w:r w:rsidRPr="00F70CE6">
              <w:t>83.4</w:t>
            </w:r>
          </w:p>
        </w:tc>
      </w:tr>
      <w:tr w:rsidR="00E164E6" w:rsidRPr="00F70CE6" w14:paraId="05E48515" w14:textId="77777777" w:rsidTr="00BF4603">
        <w:trPr>
          <w:trHeight w:val="288"/>
          <w:jc w:val="center"/>
        </w:trPr>
        <w:tc>
          <w:tcPr>
            <w:tcW w:w="1249" w:type="pct"/>
            <w:tcBorders>
              <w:top w:val="nil"/>
              <w:left w:val="single" w:sz="4" w:space="0" w:color="auto"/>
              <w:bottom w:val="nil"/>
              <w:right w:val="nil"/>
            </w:tcBorders>
            <w:shd w:val="clear" w:color="auto" w:fill="auto"/>
            <w:noWrap/>
            <w:hideMark/>
          </w:tcPr>
          <w:p w14:paraId="093C5AA8" w14:textId="77777777" w:rsidR="00E164E6" w:rsidRPr="00F70CE6" w:rsidRDefault="00E164E6" w:rsidP="00C45843">
            <w:pPr>
              <w:jc w:val="both"/>
            </w:pPr>
            <w:r w:rsidRPr="00F70CE6">
              <w:t>T2</w:t>
            </w:r>
          </w:p>
        </w:tc>
        <w:tc>
          <w:tcPr>
            <w:tcW w:w="1250" w:type="pct"/>
            <w:tcBorders>
              <w:top w:val="nil"/>
              <w:left w:val="nil"/>
              <w:bottom w:val="nil"/>
              <w:right w:val="nil"/>
            </w:tcBorders>
            <w:shd w:val="clear" w:color="auto" w:fill="auto"/>
            <w:noWrap/>
            <w:hideMark/>
          </w:tcPr>
          <w:p w14:paraId="6B6E9D4B" w14:textId="77777777" w:rsidR="00E164E6" w:rsidRPr="00F70CE6" w:rsidRDefault="00E164E6" w:rsidP="00F70CE6">
            <w:pPr>
              <w:jc w:val="center"/>
            </w:pPr>
            <w:r w:rsidRPr="00F70CE6">
              <w:t>10</w:t>
            </w:r>
          </w:p>
        </w:tc>
        <w:tc>
          <w:tcPr>
            <w:tcW w:w="1250" w:type="pct"/>
            <w:tcBorders>
              <w:top w:val="nil"/>
              <w:left w:val="nil"/>
              <w:bottom w:val="nil"/>
              <w:right w:val="nil"/>
            </w:tcBorders>
            <w:shd w:val="clear" w:color="auto" w:fill="auto"/>
            <w:noWrap/>
            <w:hideMark/>
          </w:tcPr>
          <w:p w14:paraId="0D954447" w14:textId="77777777" w:rsidR="00E164E6" w:rsidRPr="00F70CE6" w:rsidRDefault="00E164E6" w:rsidP="00F70CE6">
            <w:pPr>
              <w:jc w:val="center"/>
            </w:pPr>
            <w:r w:rsidRPr="00F70CE6">
              <w:t>13.3</w:t>
            </w:r>
          </w:p>
        </w:tc>
        <w:tc>
          <w:tcPr>
            <w:tcW w:w="1250" w:type="pct"/>
            <w:tcBorders>
              <w:top w:val="nil"/>
              <w:left w:val="nil"/>
              <w:bottom w:val="nil"/>
              <w:right w:val="single" w:sz="4" w:space="0" w:color="auto"/>
            </w:tcBorders>
            <w:shd w:val="clear" w:color="auto" w:fill="auto"/>
            <w:noWrap/>
            <w:hideMark/>
          </w:tcPr>
          <w:p w14:paraId="32691F5A" w14:textId="77777777" w:rsidR="00E164E6" w:rsidRPr="00F70CE6" w:rsidRDefault="00E164E6" w:rsidP="00F70CE6">
            <w:pPr>
              <w:jc w:val="center"/>
            </w:pPr>
            <w:r w:rsidRPr="00F70CE6">
              <w:t>76.7</w:t>
            </w:r>
          </w:p>
        </w:tc>
      </w:tr>
      <w:tr w:rsidR="00E164E6" w:rsidRPr="00F70CE6" w14:paraId="21CF5B88" w14:textId="77777777" w:rsidTr="00BF4603">
        <w:trPr>
          <w:trHeight w:val="288"/>
          <w:jc w:val="center"/>
        </w:trPr>
        <w:tc>
          <w:tcPr>
            <w:tcW w:w="1249" w:type="pct"/>
            <w:tcBorders>
              <w:top w:val="nil"/>
              <w:left w:val="single" w:sz="4" w:space="0" w:color="auto"/>
              <w:bottom w:val="nil"/>
              <w:right w:val="nil"/>
            </w:tcBorders>
            <w:shd w:val="clear" w:color="auto" w:fill="auto"/>
            <w:noWrap/>
            <w:hideMark/>
          </w:tcPr>
          <w:p w14:paraId="2AD231C0" w14:textId="77777777" w:rsidR="00E164E6" w:rsidRPr="00F70CE6" w:rsidRDefault="00E164E6" w:rsidP="00C45843">
            <w:pPr>
              <w:jc w:val="both"/>
            </w:pPr>
            <w:r w:rsidRPr="00F70CE6">
              <w:t>T3</w:t>
            </w:r>
          </w:p>
        </w:tc>
        <w:tc>
          <w:tcPr>
            <w:tcW w:w="1250" w:type="pct"/>
            <w:tcBorders>
              <w:top w:val="nil"/>
              <w:left w:val="nil"/>
              <w:bottom w:val="nil"/>
              <w:right w:val="nil"/>
            </w:tcBorders>
            <w:shd w:val="clear" w:color="auto" w:fill="auto"/>
            <w:noWrap/>
            <w:hideMark/>
          </w:tcPr>
          <w:p w14:paraId="5CCB524A" w14:textId="77777777" w:rsidR="00E164E6" w:rsidRPr="00F70CE6" w:rsidRDefault="00E164E6" w:rsidP="00F70CE6">
            <w:pPr>
              <w:jc w:val="center"/>
            </w:pPr>
            <w:r w:rsidRPr="00F70CE6">
              <w:t>20</w:t>
            </w:r>
          </w:p>
        </w:tc>
        <w:tc>
          <w:tcPr>
            <w:tcW w:w="1250" w:type="pct"/>
            <w:tcBorders>
              <w:top w:val="nil"/>
              <w:left w:val="nil"/>
              <w:bottom w:val="nil"/>
              <w:right w:val="nil"/>
            </w:tcBorders>
            <w:shd w:val="clear" w:color="auto" w:fill="auto"/>
            <w:noWrap/>
            <w:hideMark/>
          </w:tcPr>
          <w:p w14:paraId="7F20BBEB" w14:textId="77777777" w:rsidR="00E164E6" w:rsidRPr="00F70CE6" w:rsidRDefault="00E164E6" w:rsidP="00F70CE6">
            <w:pPr>
              <w:jc w:val="center"/>
            </w:pPr>
            <w:r w:rsidRPr="00F70CE6">
              <w:t>6.6</w:t>
            </w:r>
          </w:p>
        </w:tc>
        <w:tc>
          <w:tcPr>
            <w:tcW w:w="1250" w:type="pct"/>
            <w:tcBorders>
              <w:top w:val="nil"/>
              <w:left w:val="nil"/>
              <w:bottom w:val="nil"/>
              <w:right w:val="single" w:sz="4" w:space="0" w:color="auto"/>
            </w:tcBorders>
            <w:shd w:val="clear" w:color="auto" w:fill="auto"/>
            <w:noWrap/>
            <w:hideMark/>
          </w:tcPr>
          <w:p w14:paraId="25D61AD0" w14:textId="77777777" w:rsidR="00E164E6" w:rsidRPr="00F70CE6" w:rsidRDefault="00E164E6" w:rsidP="00F70CE6">
            <w:pPr>
              <w:jc w:val="center"/>
            </w:pPr>
            <w:r w:rsidRPr="00F70CE6">
              <w:t>73.4</w:t>
            </w:r>
          </w:p>
        </w:tc>
      </w:tr>
      <w:tr w:rsidR="00E164E6" w:rsidRPr="00F70CE6" w14:paraId="2085EA2B" w14:textId="77777777" w:rsidTr="00BF4603">
        <w:trPr>
          <w:trHeight w:val="288"/>
          <w:jc w:val="center"/>
        </w:trPr>
        <w:tc>
          <w:tcPr>
            <w:tcW w:w="1249" w:type="pct"/>
            <w:tcBorders>
              <w:top w:val="nil"/>
              <w:left w:val="single" w:sz="4" w:space="0" w:color="auto"/>
              <w:bottom w:val="single" w:sz="4" w:space="0" w:color="auto"/>
              <w:right w:val="nil"/>
            </w:tcBorders>
            <w:shd w:val="clear" w:color="auto" w:fill="auto"/>
            <w:noWrap/>
            <w:hideMark/>
          </w:tcPr>
          <w:p w14:paraId="2AF72C33" w14:textId="77777777" w:rsidR="00E164E6" w:rsidRPr="00F70CE6" w:rsidRDefault="00E164E6" w:rsidP="00C45843">
            <w:pPr>
              <w:jc w:val="both"/>
            </w:pPr>
            <w:r w:rsidRPr="00F70CE6">
              <w:t>T4</w:t>
            </w:r>
          </w:p>
        </w:tc>
        <w:tc>
          <w:tcPr>
            <w:tcW w:w="1250" w:type="pct"/>
            <w:tcBorders>
              <w:top w:val="nil"/>
              <w:left w:val="nil"/>
              <w:bottom w:val="single" w:sz="4" w:space="0" w:color="auto"/>
              <w:right w:val="nil"/>
            </w:tcBorders>
            <w:shd w:val="clear" w:color="auto" w:fill="auto"/>
            <w:noWrap/>
            <w:hideMark/>
          </w:tcPr>
          <w:p w14:paraId="6767786B" w14:textId="77777777" w:rsidR="00E164E6" w:rsidRPr="00F70CE6" w:rsidRDefault="00E164E6" w:rsidP="00F70CE6">
            <w:pPr>
              <w:jc w:val="center"/>
            </w:pPr>
            <w:r w:rsidRPr="00F70CE6">
              <w:t>20</w:t>
            </w:r>
          </w:p>
        </w:tc>
        <w:tc>
          <w:tcPr>
            <w:tcW w:w="1250" w:type="pct"/>
            <w:tcBorders>
              <w:top w:val="nil"/>
              <w:left w:val="nil"/>
              <w:bottom w:val="single" w:sz="4" w:space="0" w:color="auto"/>
              <w:right w:val="nil"/>
            </w:tcBorders>
            <w:shd w:val="clear" w:color="auto" w:fill="auto"/>
            <w:noWrap/>
            <w:hideMark/>
          </w:tcPr>
          <w:p w14:paraId="07837D30" w14:textId="77777777" w:rsidR="00E164E6" w:rsidRPr="00F70CE6" w:rsidRDefault="00E164E6" w:rsidP="00F70CE6">
            <w:pPr>
              <w:jc w:val="center"/>
            </w:pPr>
            <w:r w:rsidRPr="00F70CE6">
              <w:t>13.3</w:t>
            </w:r>
          </w:p>
        </w:tc>
        <w:tc>
          <w:tcPr>
            <w:tcW w:w="1250" w:type="pct"/>
            <w:tcBorders>
              <w:top w:val="nil"/>
              <w:left w:val="nil"/>
              <w:bottom w:val="single" w:sz="4" w:space="0" w:color="auto"/>
              <w:right w:val="single" w:sz="4" w:space="0" w:color="auto"/>
            </w:tcBorders>
            <w:shd w:val="clear" w:color="auto" w:fill="auto"/>
            <w:noWrap/>
            <w:hideMark/>
          </w:tcPr>
          <w:p w14:paraId="5A664585" w14:textId="77777777" w:rsidR="00E164E6" w:rsidRPr="00F70CE6" w:rsidRDefault="00E164E6" w:rsidP="00F70CE6">
            <w:pPr>
              <w:jc w:val="center"/>
            </w:pPr>
            <w:r w:rsidRPr="00F70CE6">
              <w:t>66.7</w:t>
            </w:r>
          </w:p>
        </w:tc>
      </w:tr>
    </w:tbl>
    <w:p w14:paraId="4C7527D8" w14:textId="77777777" w:rsidR="00E164E6" w:rsidRPr="00F70CE6" w:rsidRDefault="00E164E6" w:rsidP="00F70CE6">
      <w:pPr>
        <w:jc w:val="center"/>
      </w:pPr>
      <w:r w:rsidRPr="00F70CE6">
        <w:t>Fuente: Elaboración Propia, 2021</w:t>
      </w:r>
    </w:p>
    <w:p w14:paraId="78A61973" w14:textId="3AE1C308" w:rsidR="00E164E6" w:rsidRDefault="00F70CE6" w:rsidP="005B21A8">
      <w:pPr>
        <w:spacing w:line="360" w:lineRule="auto"/>
        <w:ind w:firstLine="708"/>
        <w:jc w:val="both"/>
        <w:rPr>
          <w:lang w:val="es-MX"/>
        </w:rPr>
      </w:pPr>
      <w:r w:rsidRPr="005B21A8">
        <w:rPr>
          <w:lang w:val="es-MX"/>
        </w:rPr>
        <w:lastRenderedPageBreak/>
        <w:t xml:space="preserve">Los sustratos fueron inoculados con una micorriza de uso comercial base </w:t>
      </w:r>
      <w:proofErr w:type="spellStart"/>
      <w:r w:rsidRPr="005B21A8">
        <w:rPr>
          <w:i/>
          <w:iCs/>
          <w:lang w:val="es-MX"/>
        </w:rPr>
        <w:t>Funneliformis</w:t>
      </w:r>
      <w:proofErr w:type="spellEnd"/>
      <w:r w:rsidRPr="005B21A8">
        <w:rPr>
          <w:i/>
          <w:iCs/>
          <w:lang w:val="es-MX"/>
        </w:rPr>
        <w:t xml:space="preserve"> </w:t>
      </w:r>
      <w:proofErr w:type="spellStart"/>
      <w:r w:rsidRPr="005B21A8">
        <w:rPr>
          <w:i/>
          <w:iCs/>
          <w:lang w:val="es-MX"/>
        </w:rPr>
        <w:t>mosseae</w:t>
      </w:r>
      <w:proofErr w:type="spellEnd"/>
      <w:r w:rsidRPr="005B21A8">
        <w:rPr>
          <w:lang w:val="es-MX"/>
        </w:rPr>
        <w:t xml:space="preserve">, del cual fueron agregados 3 gramos por cada 1 kilo de sustrato. El peso promedio del sustrato contenido en las macetas es de 1200 gramos. Desde el día 1 al día 96 del experimento, fue registrada la aparición de brotes de </w:t>
      </w:r>
      <w:proofErr w:type="spellStart"/>
      <w:r w:rsidRPr="005B21A8">
        <w:rPr>
          <w:i/>
          <w:iCs/>
          <w:lang w:val="es-MX"/>
        </w:rPr>
        <w:t>Atriplex</w:t>
      </w:r>
      <w:proofErr w:type="spellEnd"/>
      <w:r w:rsidRPr="005B21A8">
        <w:rPr>
          <w:i/>
          <w:iCs/>
          <w:lang w:val="es-MX"/>
        </w:rPr>
        <w:t xml:space="preserve"> </w:t>
      </w:r>
      <w:proofErr w:type="spellStart"/>
      <w:r w:rsidRPr="005B21A8">
        <w:rPr>
          <w:i/>
          <w:iCs/>
          <w:lang w:val="es-MX"/>
        </w:rPr>
        <w:t>canescens</w:t>
      </w:r>
      <w:proofErr w:type="spellEnd"/>
      <w:r w:rsidRPr="005B21A8">
        <w:rPr>
          <w:lang w:val="es-MX"/>
        </w:rPr>
        <w:t xml:space="preserve"> </w:t>
      </w:r>
      <w:proofErr w:type="spellStart"/>
      <w:r w:rsidRPr="005B21A8">
        <w:rPr>
          <w:lang w:val="es-MX"/>
        </w:rPr>
        <w:t>Pursh</w:t>
      </w:r>
      <w:proofErr w:type="spellEnd"/>
      <w:r w:rsidRPr="005B21A8">
        <w:rPr>
          <w:lang w:val="es-MX"/>
        </w:rPr>
        <w:t xml:space="preserve">, Nutt. El registro se contabilizó cada quince días (Ruiz-Fernández </w:t>
      </w:r>
      <w:r w:rsidRPr="005B21A8">
        <w:rPr>
          <w:i/>
          <w:iCs/>
          <w:lang w:val="es-MX"/>
        </w:rPr>
        <w:t>et al</w:t>
      </w:r>
      <w:r w:rsidRPr="005B21A8">
        <w:rPr>
          <w:lang w:val="es-MX"/>
        </w:rPr>
        <w:t xml:space="preserve">., 2019). Los datos tomados para registro fueron el número de plántulas que brotaron, la cantidad de hojas en las plántulas, la altura de las plántulas y la longitud de las hojas de las plántulas (Zhang </w:t>
      </w:r>
      <w:r w:rsidRPr="005B21A8">
        <w:rPr>
          <w:i/>
          <w:iCs/>
          <w:lang w:val="es-MX"/>
        </w:rPr>
        <w:t>et al</w:t>
      </w:r>
      <w:r w:rsidRPr="005B21A8">
        <w:rPr>
          <w:lang w:val="es-MX"/>
        </w:rPr>
        <w:t xml:space="preserve">., 2019). Con estos datos, se determinó la cantidad de aparición de brotes y la tasa de aparición de brotes (Maguire, 1962; Hartmann </w:t>
      </w:r>
      <w:r w:rsidRPr="005B21A8">
        <w:rPr>
          <w:i/>
          <w:iCs/>
          <w:lang w:val="es-MX"/>
        </w:rPr>
        <w:t>et al</w:t>
      </w:r>
      <w:r w:rsidRPr="005B21A8">
        <w:rPr>
          <w:lang w:val="es-MX"/>
        </w:rPr>
        <w:t xml:space="preserve">., 1974). Para el diseño experimental se empleó el diseño de bloques de 4 tratamientos con 12 repeticiones (González </w:t>
      </w:r>
      <w:r w:rsidRPr="005B21A8">
        <w:rPr>
          <w:i/>
          <w:iCs/>
          <w:lang w:val="es-MX"/>
        </w:rPr>
        <w:t>et al</w:t>
      </w:r>
      <w:r w:rsidRPr="005B21A8">
        <w:rPr>
          <w:lang w:val="es-MX"/>
        </w:rPr>
        <w:t>., 2015). La validación estadística para comparar los resultados registrados hasta este momento en el experimento se realizó con una prueba de análisis de varianzas (Probabilidad P</w:t>
      </w:r>
      <w:r w:rsidRPr="0024590E">
        <w:rPr>
          <w:sz w:val="18"/>
          <w:szCs w:val="18"/>
          <w:lang w:val="es-US"/>
        </w:rPr>
        <w:sym w:font="Symbol" w:char="F0A3"/>
      </w:r>
      <w:r w:rsidRPr="005B21A8">
        <w:rPr>
          <w:lang w:val="es-MX"/>
        </w:rPr>
        <w:t xml:space="preserve">0.05) para obtener las diferencias de significancia, también se realizó una prueba de comparación de medias para obtener las diferencias entre los tratamientos, y por último se realizó el análisis de correlación para determinar la relación entre las variables registradas y los cuatro tratamientos (Rodríguez </w:t>
      </w:r>
      <w:r w:rsidRPr="005B21A8">
        <w:rPr>
          <w:i/>
          <w:iCs/>
          <w:lang w:val="es-MX"/>
        </w:rPr>
        <w:t>et al</w:t>
      </w:r>
      <w:r w:rsidRPr="005B21A8">
        <w:rPr>
          <w:lang w:val="es-MX"/>
        </w:rPr>
        <w:t>., 2020). Los datos de conductividad eléctrica permiten deducir los niveles de cationes que se encuentran por arcillas y por materia orgánica en el sustrato, permitiendo la adsorción de plomo. El pH está relacionado con la especiación de plomo para deducir la forma en que está presente en el sustrato. La densidad es la característica con la que se puede deducir la movilidad del plomo en el sustrato por su textura. La permeabilidad permite deducir la movilidad del plomo a través de los materiales que componen el sustrato. Los valores generalizados de los niveles de concentración de plomo en suelo considerados excesivos para las plantas son de 30 mg*kg</w:t>
      </w:r>
      <w:r w:rsidRPr="005B21A8">
        <w:rPr>
          <w:vertAlign w:val="superscript"/>
          <w:lang w:val="es-MX"/>
        </w:rPr>
        <w:t>-1</w:t>
      </w:r>
      <w:r w:rsidRPr="005B21A8">
        <w:rPr>
          <w:lang w:val="es-MX"/>
        </w:rPr>
        <w:t>. La caracterización inicial del jal utilizado en este estudio se presenta en la Tabla 2. Los valores por cada uno de los cuatro tratamientos por conductividad eléctrica, pH y densidad, se presentan en la Tabla 3.</w:t>
      </w:r>
    </w:p>
    <w:p w14:paraId="0203CB3F" w14:textId="77777777" w:rsidR="005B21A8" w:rsidRPr="005B21A8" w:rsidRDefault="005B21A8" w:rsidP="005B21A8">
      <w:pPr>
        <w:spacing w:line="360" w:lineRule="auto"/>
        <w:ind w:firstLine="708"/>
        <w:jc w:val="both"/>
        <w:rPr>
          <w:lang w:val="es-MX"/>
        </w:rPr>
      </w:pPr>
    </w:p>
    <w:p w14:paraId="4FACA94A" w14:textId="77777777" w:rsidR="00F70CE6" w:rsidRPr="00F70CE6" w:rsidRDefault="00F70CE6" w:rsidP="00F70CE6">
      <w:pPr>
        <w:jc w:val="center"/>
      </w:pPr>
      <w:proofErr w:type="spellStart"/>
      <w:r w:rsidRPr="00F70CE6">
        <w:rPr>
          <w:b/>
          <w:bCs/>
        </w:rPr>
        <w:t>Tabla</w:t>
      </w:r>
      <w:proofErr w:type="spellEnd"/>
      <w:r w:rsidRPr="00F70CE6">
        <w:rPr>
          <w:b/>
          <w:bCs/>
        </w:rPr>
        <w:t xml:space="preserve"> 2</w:t>
      </w:r>
      <w:r w:rsidRPr="00F70CE6">
        <w:t xml:space="preserve">: </w:t>
      </w:r>
      <w:proofErr w:type="spellStart"/>
      <w:r w:rsidRPr="00F70CE6">
        <w:t>Caracterización</w:t>
      </w:r>
      <w:proofErr w:type="spellEnd"/>
      <w:r w:rsidRPr="00F70CE6">
        <w:t xml:space="preserve"> del Jal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3"/>
        <w:gridCol w:w="1345"/>
      </w:tblGrid>
      <w:tr w:rsidR="00F70CE6" w:rsidRPr="005B21A8" w14:paraId="1F9C82B3" w14:textId="77777777" w:rsidTr="00BF4603">
        <w:trPr>
          <w:trHeight w:val="288"/>
        </w:trPr>
        <w:tc>
          <w:tcPr>
            <w:tcW w:w="5000" w:type="pct"/>
            <w:gridSpan w:val="2"/>
            <w:shd w:val="clear" w:color="auto" w:fill="auto"/>
            <w:noWrap/>
            <w:hideMark/>
          </w:tcPr>
          <w:p w14:paraId="2DE75B0B" w14:textId="77777777" w:rsidR="00F70CE6" w:rsidRPr="005B21A8" w:rsidRDefault="00F70CE6" w:rsidP="00F70CE6">
            <w:pPr>
              <w:jc w:val="both"/>
              <w:rPr>
                <w:lang w:val="es-MX"/>
              </w:rPr>
            </w:pPr>
            <w:r w:rsidRPr="005B21A8">
              <w:rPr>
                <w:lang w:val="es-MX"/>
              </w:rPr>
              <w:t>Concentraciones de plomo (mg*kg</w:t>
            </w:r>
            <w:r w:rsidRPr="005B21A8">
              <w:rPr>
                <w:vertAlign w:val="superscript"/>
                <w:lang w:val="es-MX"/>
              </w:rPr>
              <w:t>-1</w:t>
            </w:r>
            <w:r w:rsidRPr="005B21A8">
              <w:rPr>
                <w:lang w:val="es-MX"/>
              </w:rPr>
              <w:t>) en jal</w:t>
            </w:r>
          </w:p>
        </w:tc>
      </w:tr>
      <w:tr w:rsidR="00F70CE6" w:rsidRPr="00237FB4" w14:paraId="6FEA74EE" w14:textId="77777777" w:rsidTr="00BF4603">
        <w:trPr>
          <w:trHeight w:val="288"/>
        </w:trPr>
        <w:tc>
          <w:tcPr>
            <w:tcW w:w="4238" w:type="pct"/>
            <w:tcBorders>
              <w:top w:val="single" w:sz="4" w:space="0" w:color="auto"/>
              <w:left w:val="single" w:sz="4" w:space="0" w:color="auto"/>
              <w:bottom w:val="nil"/>
              <w:right w:val="nil"/>
            </w:tcBorders>
            <w:shd w:val="clear" w:color="auto" w:fill="auto"/>
            <w:noWrap/>
            <w:hideMark/>
          </w:tcPr>
          <w:p w14:paraId="524ECE5D" w14:textId="77777777" w:rsidR="00F70CE6" w:rsidRPr="00F70CE6" w:rsidRDefault="00F70CE6" w:rsidP="00C45843">
            <w:pPr>
              <w:pStyle w:val="FirstParaOfSectionTextStyle0"/>
              <w:spacing w:after="0"/>
              <w:rPr>
                <w:szCs w:val="24"/>
              </w:rPr>
            </w:pPr>
            <w:r w:rsidRPr="00F70CE6">
              <w:rPr>
                <w:szCs w:val="24"/>
              </w:rPr>
              <w:t>Ph</w:t>
            </w:r>
          </w:p>
        </w:tc>
        <w:tc>
          <w:tcPr>
            <w:tcW w:w="762" w:type="pct"/>
            <w:tcBorders>
              <w:top w:val="single" w:sz="4" w:space="0" w:color="auto"/>
              <w:left w:val="nil"/>
              <w:bottom w:val="nil"/>
              <w:right w:val="single" w:sz="4" w:space="0" w:color="auto"/>
            </w:tcBorders>
            <w:shd w:val="clear" w:color="auto" w:fill="auto"/>
            <w:noWrap/>
            <w:hideMark/>
          </w:tcPr>
          <w:p w14:paraId="344FAE9C" w14:textId="77777777" w:rsidR="00F70CE6" w:rsidRPr="00F70CE6" w:rsidRDefault="00F70CE6" w:rsidP="00F70CE6">
            <w:pPr>
              <w:jc w:val="center"/>
            </w:pPr>
            <w:r w:rsidRPr="00F70CE6">
              <w:t>7.28</w:t>
            </w:r>
          </w:p>
        </w:tc>
      </w:tr>
      <w:tr w:rsidR="00F70CE6" w:rsidRPr="00237FB4" w14:paraId="503A21FE" w14:textId="77777777" w:rsidTr="00BF4603">
        <w:trPr>
          <w:trHeight w:val="288"/>
        </w:trPr>
        <w:tc>
          <w:tcPr>
            <w:tcW w:w="4238" w:type="pct"/>
            <w:tcBorders>
              <w:top w:val="nil"/>
              <w:left w:val="single" w:sz="4" w:space="0" w:color="auto"/>
              <w:bottom w:val="nil"/>
              <w:right w:val="nil"/>
            </w:tcBorders>
            <w:shd w:val="clear" w:color="auto" w:fill="auto"/>
            <w:noWrap/>
            <w:hideMark/>
          </w:tcPr>
          <w:p w14:paraId="1094BBA2" w14:textId="77777777" w:rsidR="00F70CE6" w:rsidRPr="00F70CE6" w:rsidRDefault="00F70CE6" w:rsidP="00C45843">
            <w:pPr>
              <w:pStyle w:val="FirstParaOfSectionTextStyle0"/>
              <w:spacing w:after="0"/>
              <w:rPr>
                <w:szCs w:val="24"/>
                <w:lang w:val="es-419"/>
              </w:rPr>
            </w:pPr>
            <w:r w:rsidRPr="00F70CE6">
              <w:rPr>
                <w:rFonts w:cs="Times New Roman"/>
                <w:szCs w:val="24"/>
                <w:lang w:val="es-US"/>
              </w:rPr>
              <w:t>Concentraciones de Pb</w:t>
            </w:r>
            <w:r w:rsidRPr="00F70CE6">
              <w:rPr>
                <w:szCs w:val="24"/>
                <w:lang w:val="es-419"/>
              </w:rPr>
              <w:t xml:space="preserve"> (mg*kg</w:t>
            </w:r>
            <w:r w:rsidRPr="00F70CE6">
              <w:rPr>
                <w:szCs w:val="24"/>
                <w:vertAlign w:val="superscript"/>
                <w:lang w:val="es-419"/>
              </w:rPr>
              <w:t>-1</w:t>
            </w:r>
            <w:r w:rsidRPr="00F70CE6">
              <w:rPr>
                <w:szCs w:val="24"/>
                <w:lang w:val="es-419"/>
              </w:rPr>
              <w:t>)</w:t>
            </w:r>
          </w:p>
        </w:tc>
        <w:tc>
          <w:tcPr>
            <w:tcW w:w="762" w:type="pct"/>
            <w:tcBorders>
              <w:top w:val="nil"/>
              <w:left w:val="nil"/>
              <w:bottom w:val="nil"/>
              <w:right w:val="single" w:sz="4" w:space="0" w:color="auto"/>
            </w:tcBorders>
            <w:shd w:val="clear" w:color="auto" w:fill="auto"/>
            <w:noWrap/>
            <w:hideMark/>
          </w:tcPr>
          <w:p w14:paraId="34EF025B" w14:textId="77777777" w:rsidR="00F70CE6" w:rsidRPr="00F70CE6" w:rsidRDefault="00F70CE6" w:rsidP="00F70CE6">
            <w:pPr>
              <w:jc w:val="center"/>
            </w:pPr>
            <w:r w:rsidRPr="00F70CE6">
              <w:t>11.12</w:t>
            </w:r>
          </w:p>
        </w:tc>
      </w:tr>
      <w:tr w:rsidR="00F70CE6" w:rsidRPr="00237FB4" w14:paraId="519A9585" w14:textId="77777777" w:rsidTr="00BF4603">
        <w:trPr>
          <w:trHeight w:val="288"/>
        </w:trPr>
        <w:tc>
          <w:tcPr>
            <w:tcW w:w="4238" w:type="pct"/>
            <w:tcBorders>
              <w:top w:val="nil"/>
              <w:left w:val="single" w:sz="4" w:space="0" w:color="auto"/>
              <w:bottom w:val="nil"/>
              <w:right w:val="nil"/>
            </w:tcBorders>
            <w:shd w:val="clear" w:color="auto" w:fill="auto"/>
            <w:noWrap/>
            <w:hideMark/>
          </w:tcPr>
          <w:p w14:paraId="6136EB4F" w14:textId="77777777" w:rsidR="00F70CE6" w:rsidRPr="00F70CE6" w:rsidRDefault="00F70CE6" w:rsidP="00C45843">
            <w:pPr>
              <w:pStyle w:val="FirstParaOfSectionTextStyle0"/>
              <w:spacing w:after="0"/>
              <w:rPr>
                <w:szCs w:val="24"/>
                <w:lang w:val="es-419"/>
              </w:rPr>
            </w:pPr>
            <w:r w:rsidRPr="00F70CE6">
              <w:rPr>
                <w:rFonts w:cs="Times New Roman"/>
                <w:szCs w:val="24"/>
                <w:lang w:val="es-US"/>
              </w:rPr>
              <w:t>Precipitación esperada hasta un pH de 6.7</w:t>
            </w:r>
            <w:r w:rsidRPr="00F70CE6">
              <w:rPr>
                <w:szCs w:val="24"/>
                <w:lang w:val="es-419"/>
              </w:rPr>
              <w:t xml:space="preserve"> (mg*kg</w:t>
            </w:r>
            <w:r w:rsidRPr="00F70CE6">
              <w:rPr>
                <w:szCs w:val="24"/>
                <w:vertAlign w:val="superscript"/>
                <w:lang w:val="es-419"/>
              </w:rPr>
              <w:t>-1</w:t>
            </w:r>
            <w:r w:rsidRPr="00F70CE6">
              <w:rPr>
                <w:szCs w:val="24"/>
                <w:lang w:val="es-419"/>
              </w:rPr>
              <w:t>)</w:t>
            </w:r>
          </w:p>
        </w:tc>
        <w:tc>
          <w:tcPr>
            <w:tcW w:w="762" w:type="pct"/>
            <w:tcBorders>
              <w:top w:val="nil"/>
              <w:left w:val="nil"/>
              <w:bottom w:val="nil"/>
              <w:right w:val="single" w:sz="4" w:space="0" w:color="auto"/>
            </w:tcBorders>
            <w:shd w:val="clear" w:color="auto" w:fill="auto"/>
            <w:noWrap/>
            <w:hideMark/>
          </w:tcPr>
          <w:p w14:paraId="12EE0DF8" w14:textId="77777777" w:rsidR="00F70CE6" w:rsidRPr="00F70CE6" w:rsidRDefault="00F70CE6" w:rsidP="00F70CE6">
            <w:pPr>
              <w:jc w:val="center"/>
            </w:pPr>
            <w:r w:rsidRPr="00F70CE6">
              <w:t>1.2*10</w:t>
            </w:r>
            <w:r w:rsidRPr="00F70CE6">
              <w:rPr>
                <w:vertAlign w:val="superscript"/>
              </w:rPr>
              <w:t>-5</w:t>
            </w:r>
          </w:p>
        </w:tc>
      </w:tr>
      <w:tr w:rsidR="00F70CE6" w:rsidRPr="00237FB4" w14:paraId="77FDD99C" w14:textId="77777777" w:rsidTr="00BF4603">
        <w:trPr>
          <w:trHeight w:val="288"/>
        </w:trPr>
        <w:tc>
          <w:tcPr>
            <w:tcW w:w="4238" w:type="pct"/>
            <w:tcBorders>
              <w:top w:val="nil"/>
              <w:left w:val="single" w:sz="4" w:space="0" w:color="auto"/>
              <w:bottom w:val="nil"/>
              <w:right w:val="nil"/>
            </w:tcBorders>
            <w:shd w:val="clear" w:color="auto" w:fill="auto"/>
            <w:noWrap/>
            <w:hideMark/>
          </w:tcPr>
          <w:p w14:paraId="3266F286" w14:textId="77777777" w:rsidR="00F70CE6" w:rsidRPr="00F70CE6" w:rsidRDefault="00F70CE6" w:rsidP="00C45843">
            <w:pPr>
              <w:pStyle w:val="FirstParaOfSectionTextStyle0"/>
              <w:spacing w:after="0"/>
              <w:rPr>
                <w:szCs w:val="24"/>
                <w:lang w:val="es-419"/>
              </w:rPr>
            </w:pPr>
            <w:r w:rsidRPr="00F70CE6">
              <w:rPr>
                <w:rFonts w:cs="Times New Roman"/>
                <w:szCs w:val="24"/>
                <w:lang w:val="es-US"/>
              </w:rPr>
              <w:t>Adsorción esperada hasta un pH de 6.7</w:t>
            </w:r>
            <w:r w:rsidRPr="00F70CE6">
              <w:rPr>
                <w:szCs w:val="24"/>
                <w:lang w:val="es-419"/>
              </w:rPr>
              <w:t xml:space="preserve"> (mg*kg</w:t>
            </w:r>
            <w:r w:rsidRPr="00F70CE6">
              <w:rPr>
                <w:szCs w:val="24"/>
                <w:vertAlign w:val="superscript"/>
                <w:lang w:val="es-419"/>
              </w:rPr>
              <w:t>-1</w:t>
            </w:r>
            <w:r w:rsidRPr="00F70CE6">
              <w:rPr>
                <w:szCs w:val="24"/>
                <w:lang w:val="es-419"/>
              </w:rPr>
              <w:t>)</w:t>
            </w:r>
          </w:p>
        </w:tc>
        <w:tc>
          <w:tcPr>
            <w:tcW w:w="762" w:type="pct"/>
            <w:tcBorders>
              <w:top w:val="nil"/>
              <w:left w:val="nil"/>
              <w:bottom w:val="nil"/>
              <w:right w:val="single" w:sz="4" w:space="0" w:color="auto"/>
            </w:tcBorders>
            <w:shd w:val="clear" w:color="auto" w:fill="auto"/>
            <w:noWrap/>
            <w:hideMark/>
          </w:tcPr>
          <w:p w14:paraId="3272C50A" w14:textId="77777777" w:rsidR="00F70CE6" w:rsidRPr="00F70CE6" w:rsidRDefault="00F70CE6" w:rsidP="00F70CE6">
            <w:pPr>
              <w:jc w:val="center"/>
            </w:pPr>
            <w:r w:rsidRPr="00F70CE6">
              <w:t>0.6</w:t>
            </w:r>
          </w:p>
        </w:tc>
      </w:tr>
      <w:tr w:rsidR="00F70CE6" w:rsidRPr="00237FB4" w14:paraId="14FCBA37" w14:textId="77777777" w:rsidTr="00BF4603">
        <w:trPr>
          <w:trHeight w:val="288"/>
        </w:trPr>
        <w:tc>
          <w:tcPr>
            <w:tcW w:w="4238" w:type="pct"/>
            <w:tcBorders>
              <w:top w:val="nil"/>
              <w:left w:val="single" w:sz="4" w:space="0" w:color="auto"/>
              <w:bottom w:val="nil"/>
              <w:right w:val="nil"/>
            </w:tcBorders>
            <w:shd w:val="clear" w:color="auto" w:fill="auto"/>
            <w:noWrap/>
            <w:hideMark/>
          </w:tcPr>
          <w:p w14:paraId="609232BA" w14:textId="77777777" w:rsidR="00F70CE6" w:rsidRPr="00F70CE6" w:rsidRDefault="00F70CE6" w:rsidP="00C45843">
            <w:pPr>
              <w:pStyle w:val="FirstParaOfSectionTextStyle0"/>
              <w:spacing w:after="0"/>
              <w:rPr>
                <w:szCs w:val="24"/>
                <w:lang w:val="es-419"/>
              </w:rPr>
            </w:pPr>
            <w:r w:rsidRPr="00F70CE6">
              <w:rPr>
                <w:rFonts w:cs="Times New Roman"/>
                <w:szCs w:val="24"/>
                <w:lang w:val="es-US"/>
              </w:rPr>
              <w:t>K coeficiente de conductividad hidráulica permeabilidad</w:t>
            </w:r>
            <w:r w:rsidRPr="00F70CE6">
              <w:rPr>
                <w:szCs w:val="24"/>
                <w:lang w:val="es-419"/>
              </w:rPr>
              <w:t xml:space="preserve"> (cm/min)</w:t>
            </w:r>
          </w:p>
        </w:tc>
        <w:tc>
          <w:tcPr>
            <w:tcW w:w="762" w:type="pct"/>
            <w:tcBorders>
              <w:top w:val="nil"/>
              <w:left w:val="nil"/>
              <w:bottom w:val="nil"/>
              <w:right w:val="single" w:sz="4" w:space="0" w:color="auto"/>
            </w:tcBorders>
            <w:shd w:val="clear" w:color="auto" w:fill="auto"/>
            <w:noWrap/>
            <w:hideMark/>
          </w:tcPr>
          <w:p w14:paraId="63B0E98D" w14:textId="77777777" w:rsidR="00F70CE6" w:rsidRPr="00F70CE6" w:rsidRDefault="00F70CE6" w:rsidP="00F70CE6">
            <w:pPr>
              <w:jc w:val="center"/>
            </w:pPr>
            <w:r w:rsidRPr="00F70CE6">
              <w:t>1.80*10</w:t>
            </w:r>
            <w:r w:rsidRPr="00F70CE6">
              <w:rPr>
                <w:vertAlign w:val="superscript"/>
              </w:rPr>
              <w:t>-5</w:t>
            </w:r>
          </w:p>
        </w:tc>
      </w:tr>
      <w:tr w:rsidR="00F70CE6" w:rsidRPr="00237FB4" w14:paraId="486232AE" w14:textId="77777777" w:rsidTr="00BF4603">
        <w:trPr>
          <w:trHeight w:val="288"/>
        </w:trPr>
        <w:tc>
          <w:tcPr>
            <w:tcW w:w="4238" w:type="pct"/>
            <w:tcBorders>
              <w:top w:val="nil"/>
              <w:left w:val="single" w:sz="4" w:space="0" w:color="auto"/>
              <w:bottom w:val="single" w:sz="4" w:space="0" w:color="auto"/>
              <w:right w:val="nil"/>
            </w:tcBorders>
            <w:shd w:val="clear" w:color="auto" w:fill="auto"/>
            <w:noWrap/>
            <w:hideMark/>
          </w:tcPr>
          <w:p w14:paraId="3E808A5A" w14:textId="77777777" w:rsidR="00F70CE6" w:rsidRPr="00F70CE6" w:rsidRDefault="00F70CE6" w:rsidP="00C45843">
            <w:pPr>
              <w:pStyle w:val="FirstParaOfSectionTextStyle0"/>
              <w:spacing w:after="0"/>
              <w:rPr>
                <w:szCs w:val="24"/>
                <w:lang w:val="es-419"/>
              </w:rPr>
            </w:pPr>
            <w:r w:rsidRPr="00F70CE6">
              <w:rPr>
                <w:rFonts w:cs="Times New Roman"/>
                <w:szCs w:val="24"/>
                <w:lang w:val="es-US"/>
              </w:rPr>
              <w:t>Concentraciones de Pb esperadas en raíces</w:t>
            </w:r>
            <w:r w:rsidRPr="00F70CE6">
              <w:rPr>
                <w:szCs w:val="24"/>
                <w:lang w:val="es-419"/>
              </w:rPr>
              <w:t xml:space="preserve"> (mg*kg</w:t>
            </w:r>
            <w:r w:rsidRPr="00F70CE6">
              <w:rPr>
                <w:szCs w:val="24"/>
                <w:vertAlign w:val="superscript"/>
                <w:lang w:val="es-419"/>
              </w:rPr>
              <w:t>-1</w:t>
            </w:r>
            <w:r w:rsidRPr="00F70CE6">
              <w:rPr>
                <w:szCs w:val="24"/>
                <w:lang w:val="es-419"/>
              </w:rPr>
              <w:t>)</w:t>
            </w:r>
          </w:p>
        </w:tc>
        <w:tc>
          <w:tcPr>
            <w:tcW w:w="762" w:type="pct"/>
            <w:tcBorders>
              <w:top w:val="nil"/>
              <w:left w:val="nil"/>
              <w:bottom w:val="single" w:sz="4" w:space="0" w:color="auto"/>
              <w:right w:val="single" w:sz="4" w:space="0" w:color="auto"/>
            </w:tcBorders>
            <w:shd w:val="clear" w:color="auto" w:fill="auto"/>
            <w:noWrap/>
            <w:hideMark/>
          </w:tcPr>
          <w:p w14:paraId="64486547" w14:textId="77777777" w:rsidR="00F70CE6" w:rsidRPr="00F70CE6" w:rsidRDefault="00F70CE6" w:rsidP="00F70CE6">
            <w:pPr>
              <w:jc w:val="center"/>
            </w:pPr>
            <w:r w:rsidRPr="00F70CE6">
              <w:t>1.528</w:t>
            </w:r>
          </w:p>
        </w:tc>
      </w:tr>
    </w:tbl>
    <w:p w14:paraId="7A3F0789" w14:textId="77777777" w:rsidR="00F70CE6" w:rsidRPr="00F70CE6" w:rsidRDefault="00F70CE6" w:rsidP="00F70CE6">
      <w:pPr>
        <w:pStyle w:val="SourceLineforTablesFigures"/>
        <w:rPr>
          <w:rFonts w:eastAsiaTheme="minorHAnsi" w:cs="Times New Roman"/>
          <w:i w:val="0"/>
          <w:sz w:val="24"/>
          <w:szCs w:val="24"/>
          <w:lang w:val="es-MX"/>
        </w:rPr>
      </w:pPr>
      <w:r w:rsidRPr="00F70CE6">
        <w:rPr>
          <w:rFonts w:eastAsiaTheme="minorHAnsi" w:cs="Times New Roman"/>
          <w:i w:val="0"/>
          <w:sz w:val="24"/>
          <w:szCs w:val="24"/>
          <w:lang w:val="es-MX"/>
        </w:rPr>
        <w:t>Fuente: Rodríguez, et al., 2020</w:t>
      </w:r>
    </w:p>
    <w:p w14:paraId="62ECAFE2" w14:textId="77777777" w:rsidR="005B21A8" w:rsidRDefault="005B21A8" w:rsidP="00F70CE6">
      <w:pPr>
        <w:jc w:val="center"/>
        <w:rPr>
          <w:b/>
          <w:bCs/>
          <w:lang w:val="es-MX"/>
        </w:rPr>
      </w:pPr>
    </w:p>
    <w:p w14:paraId="4CE952C7" w14:textId="1507AFB7" w:rsidR="00F70CE6" w:rsidRPr="005B21A8" w:rsidRDefault="00F70CE6" w:rsidP="00F70CE6">
      <w:pPr>
        <w:jc w:val="center"/>
        <w:rPr>
          <w:lang w:val="es-MX"/>
        </w:rPr>
      </w:pPr>
      <w:r w:rsidRPr="005B21A8">
        <w:rPr>
          <w:b/>
          <w:bCs/>
          <w:lang w:val="es-MX"/>
        </w:rPr>
        <w:lastRenderedPageBreak/>
        <w:t>Tabla 3</w:t>
      </w:r>
      <w:r w:rsidRPr="005B21A8">
        <w:rPr>
          <w:lang w:val="es-MX"/>
        </w:rPr>
        <w:t>: Características de los Cuatro Sustratos Utilizados como Tratamientos</w:t>
      </w:r>
    </w:p>
    <w:tbl>
      <w:tblPr>
        <w:tblW w:w="4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2089"/>
        <w:gridCol w:w="1301"/>
        <w:gridCol w:w="1302"/>
        <w:gridCol w:w="1302"/>
      </w:tblGrid>
      <w:tr w:rsidR="00F70CE6" w:rsidRPr="00F70CE6" w14:paraId="12DEB395" w14:textId="77777777" w:rsidTr="00BF4603">
        <w:trPr>
          <w:trHeight w:val="288"/>
          <w:jc w:val="center"/>
        </w:trPr>
        <w:tc>
          <w:tcPr>
            <w:tcW w:w="1000" w:type="pct"/>
            <w:tcBorders>
              <w:top w:val="single" w:sz="4" w:space="0" w:color="auto"/>
              <w:left w:val="single" w:sz="4" w:space="0" w:color="auto"/>
              <w:bottom w:val="single" w:sz="4" w:space="0" w:color="auto"/>
              <w:right w:val="nil"/>
            </w:tcBorders>
            <w:shd w:val="clear" w:color="auto" w:fill="auto"/>
            <w:noWrap/>
            <w:hideMark/>
          </w:tcPr>
          <w:p w14:paraId="2E196BA5" w14:textId="70367391" w:rsidR="00F70CE6" w:rsidRPr="005B21A8" w:rsidRDefault="00F70CE6" w:rsidP="00C50188">
            <w:pPr>
              <w:jc w:val="center"/>
              <w:rPr>
                <w:lang w:val="es-MX"/>
              </w:rPr>
            </w:pPr>
          </w:p>
        </w:tc>
        <w:tc>
          <w:tcPr>
            <w:tcW w:w="1000" w:type="pct"/>
            <w:tcBorders>
              <w:top w:val="single" w:sz="4" w:space="0" w:color="auto"/>
              <w:left w:val="nil"/>
              <w:bottom w:val="single" w:sz="4" w:space="0" w:color="auto"/>
              <w:right w:val="nil"/>
            </w:tcBorders>
            <w:shd w:val="clear" w:color="auto" w:fill="auto"/>
            <w:noWrap/>
            <w:hideMark/>
          </w:tcPr>
          <w:p w14:paraId="20435A22" w14:textId="73FC822D" w:rsidR="00F70CE6" w:rsidRPr="00F70CE6" w:rsidRDefault="00F70CE6" w:rsidP="00C50188">
            <w:pPr>
              <w:jc w:val="center"/>
            </w:pPr>
            <w:proofErr w:type="spellStart"/>
            <w:r w:rsidRPr="00F70CE6">
              <w:t>Densidad</w:t>
            </w:r>
            <w:proofErr w:type="spellEnd"/>
            <w:r w:rsidRPr="00F70CE6">
              <w:t xml:space="preserve"> (gr*</w:t>
            </w:r>
            <w:proofErr w:type="gramStart"/>
            <w:r w:rsidRPr="00F70CE6">
              <w:t>cm</w:t>
            </w:r>
            <w:r w:rsidRPr="00C50188">
              <w:rPr>
                <w:vertAlign w:val="superscript"/>
              </w:rPr>
              <w:t>-3</w:t>
            </w:r>
            <w:proofErr w:type="gramEnd"/>
            <w:r w:rsidRPr="00F70CE6">
              <w:t>)</w:t>
            </w:r>
          </w:p>
        </w:tc>
        <w:tc>
          <w:tcPr>
            <w:tcW w:w="1000" w:type="pct"/>
            <w:tcBorders>
              <w:top w:val="single" w:sz="4" w:space="0" w:color="auto"/>
              <w:left w:val="nil"/>
              <w:bottom w:val="single" w:sz="4" w:space="0" w:color="auto"/>
              <w:right w:val="nil"/>
            </w:tcBorders>
            <w:shd w:val="clear" w:color="auto" w:fill="auto"/>
            <w:hideMark/>
          </w:tcPr>
          <w:p w14:paraId="52E57EE0" w14:textId="77777777" w:rsidR="00F70CE6" w:rsidRPr="00F70CE6" w:rsidRDefault="00F70CE6" w:rsidP="00C50188">
            <w:pPr>
              <w:jc w:val="center"/>
            </w:pPr>
            <w:r w:rsidRPr="00F70CE6">
              <w:t>pH</w:t>
            </w:r>
          </w:p>
        </w:tc>
        <w:tc>
          <w:tcPr>
            <w:tcW w:w="1000" w:type="pct"/>
            <w:tcBorders>
              <w:top w:val="single" w:sz="4" w:space="0" w:color="auto"/>
              <w:left w:val="nil"/>
              <w:bottom w:val="single" w:sz="4" w:space="0" w:color="auto"/>
              <w:right w:val="nil"/>
            </w:tcBorders>
            <w:shd w:val="clear" w:color="auto" w:fill="auto"/>
            <w:hideMark/>
          </w:tcPr>
          <w:p w14:paraId="49413DE0" w14:textId="77777777" w:rsidR="00F70CE6" w:rsidRPr="00F70CE6" w:rsidRDefault="00F70CE6" w:rsidP="00C50188">
            <w:pPr>
              <w:jc w:val="center"/>
            </w:pPr>
            <w:r w:rsidRPr="00F70CE6">
              <w:t>CE</w:t>
            </w:r>
          </w:p>
        </w:tc>
        <w:tc>
          <w:tcPr>
            <w:tcW w:w="1000" w:type="pct"/>
            <w:tcBorders>
              <w:top w:val="single" w:sz="4" w:space="0" w:color="auto"/>
              <w:left w:val="nil"/>
              <w:bottom w:val="single" w:sz="4" w:space="0" w:color="auto"/>
              <w:right w:val="single" w:sz="4" w:space="0" w:color="auto"/>
            </w:tcBorders>
          </w:tcPr>
          <w:p w14:paraId="66EFA6CB" w14:textId="77777777" w:rsidR="00F70CE6" w:rsidRPr="00F70CE6" w:rsidRDefault="00F70CE6" w:rsidP="00C50188">
            <w:pPr>
              <w:jc w:val="center"/>
            </w:pPr>
            <w:r w:rsidRPr="00F70CE6">
              <w:t>Jal (%)</w:t>
            </w:r>
          </w:p>
        </w:tc>
      </w:tr>
      <w:tr w:rsidR="00F70CE6" w:rsidRPr="00F70CE6" w14:paraId="4A4A3DE3" w14:textId="77777777" w:rsidTr="00BF4603">
        <w:trPr>
          <w:trHeight w:val="288"/>
          <w:jc w:val="center"/>
        </w:trPr>
        <w:tc>
          <w:tcPr>
            <w:tcW w:w="1000" w:type="pct"/>
            <w:tcBorders>
              <w:top w:val="single" w:sz="4" w:space="0" w:color="auto"/>
              <w:left w:val="single" w:sz="4" w:space="0" w:color="auto"/>
              <w:bottom w:val="nil"/>
              <w:right w:val="nil"/>
            </w:tcBorders>
            <w:shd w:val="clear" w:color="auto" w:fill="auto"/>
            <w:noWrap/>
            <w:hideMark/>
          </w:tcPr>
          <w:p w14:paraId="049C1BF2" w14:textId="77777777" w:rsidR="00F70CE6" w:rsidRPr="00F70CE6" w:rsidRDefault="00F70CE6" w:rsidP="00F70CE6">
            <w:pPr>
              <w:jc w:val="both"/>
            </w:pPr>
            <w:r w:rsidRPr="00F70CE6">
              <w:t>T1</w:t>
            </w:r>
          </w:p>
        </w:tc>
        <w:tc>
          <w:tcPr>
            <w:tcW w:w="1000" w:type="pct"/>
            <w:tcBorders>
              <w:top w:val="single" w:sz="4" w:space="0" w:color="auto"/>
              <w:left w:val="nil"/>
              <w:bottom w:val="nil"/>
              <w:right w:val="nil"/>
            </w:tcBorders>
            <w:shd w:val="clear" w:color="auto" w:fill="auto"/>
            <w:noWrap/>
            <w:hideMark/>
          </w:tcPr>
          <w:p w14:paraId="73E8CAF5" w14:textId="77777777" w:rsidR="00F70CE6" w:rsidRPr="00F70CE6" w:rsidRDefault="00F70CE6" w:rsidP="00C50188">
            <w:pPr>
              <w:jc w:val="center"/>
            </w:pPr>
            <w:r w:rsidRPr="00F70CE6">
              <w:t>2.2361</w:t>
            </w:r>
          </w:p>
        </w:tc>
        <w:tc>
          <w:tcPr>
            <w:tcW w:w="1000" w:type="pct"/>
            <w:tcBorders>
              <w:top w:val="single" w:sz="4" w:space="0" w:color="auto"/>
              <w:left w:val="nil"/>
              <w:bottom w:val="nil"/>
              <w:right w:val="nil"/>
            </w:tcBorders>
            <w:shd w:val="clear" w:color="auto" w:fill="auto"/>
            <w:hideMark/>
          </w:tcPr>
          <w:p w14:paraId="44BF141C" w14:textId="77777777" w:rsidR="00F70CE6" w:rsidRPr="00F70CE6" w:rsidRDefault="00F70CE6" w:rsidP="00C50188">
            <w:pPr>
              <w:jc w:val="center"/>
            </w:pPr>
            <w:r w:rsidRPr="00F70CE6">
              <w:t>7.79</w:t>
            </w:r>
          </w:p>
        </w:tc>
        <w:tc>
          <w:tcPr>
            <w:tcW w:w="1000" w:type="pct"/>
            <w:tcBorders>
              <w:top w:val="single" w:sz="4" w:space="0" w:color="auto"/>
              <w:left w:val="nil"/>
              <w:bottom w:val="nil"/>
              <w:right w:val="nil"/>
            </w:tcBorders>
            <w:shd w:val="clear" w:color="auto" w:fill="auto"/>
            <w:hideMark/>
          </w:tcPr>
          <w:p w14:paraId="717360CB" w14:textId="77777777" w:rsidR="00F70CE6" w:rsidRPr="00F70CE6" w:rsidRDefault="00F70CE6" w:rsidP="00C50188">
            <w:pPr>
              <w:jc w:val="center"/>
            </w:pPr>
            <w:r w:rsidRPr="00F70CE6">
              <w:t>2.09</w:t>
            </w:r>
          </w:p>
        </w:tc>
        <w:tc>
          <w:tcPr>
            <w:tcW w:w="1000" w:type="pct"/>
            <w:tcBorders>
              <w:top w:val="single" w:sz="4" w:space="0" w:color="auto"/>
              <w:left w:val="nil"/>
              <w:bottom w:val="nil"/>
              <w:right w:val="single" w:sz="4" w:space="0" w:color="auto"/>
            </w:tcBorders>
          </w:tcPr>
          <w:p w14:paraId="725537CA" w14:textId="77777777" w:rsidR="00F70CE6" w:rsidRPr="00F70CE6" w:rsidRDefault="00F70CE6" w:rsidP="00C50188">
            <w:pPr>
              <w:jc w:val="center"/>
            </w:pPr>
            <w:r w:rsidRPr="00F70CE6">
              <w:t>83.4</w:t>
            </w:r>
          </w:p>
        </w:tc>
      </w:tr>
      <w:tr w:rsidR="00F70CE6" w:rsidRPr="00F70CE6" w14:paraId="50F6743D" w14:textId="77777777" w:rsidTr="00BF4603">
        <w:trPr>
          <w:trHeight w:val="288"/>
          <w:jc w:val="center"/>
        </w:trPr>
        <w:tc>
          <w:tcPr>
            <w:tcW w:w="1000" w:type="pct"/>
            <w:tcBorders>
              <w:top w:val="nil"/>
              <w:left w:val="single" w:sz="4" w:space="0" w:color="auto"/>
              <w:bottom w:val="nil"/>
              <w:right w:val="nil"/>
            </w:tcBorders>
            <w:shd w:val="clear" w:color="auto" w:fill="auto"/>
            <w:noWrap/>
            <w:hideMark/>
          </w:tcPr>
          <w:p w14:paraId="1D3510E6" w14:textId="77777777" w:rsidR="00F70CE6" w:rsidRPr="00F70CE6" w:rsidRDefault="00F70CE6" w:rsidP="00F70CE6">
            <w:pPr>
              <w:jc w:val="both"/>
            </w:pPr>
            <w:r w:rsidRPr="00F70CE6">
              <w:t>T2</w:t>
            </w:r>
          </w:p>
        </w:tc>
        <w:tc>
          <w:tcPr>
            <w:tcW w:w="1000" w:type="pct"/>
            <w:tcBorders>
              <w:top w:val="nil"/>
              <w:left w:val="nil"/>
              <w:bottom w:val="nil"/>
              <w:right w:val="nil"/>
            </w:tcBorders>
            <w:shd w:val="clear" w:color="auto" w:fill="auto"/>
            <w:noWrap/>
            <w:hideMark/>
          </w:tcPr>
          <w:p w14:paraId="17D5FC75" w14:textId="77777777" w:rsidR="00F70CE6" w:rsidRPr="00F70CE6" w:rsidRDefault="00F70CE6" w:rsidP="00C50188">
            <w:pPr>
              <w:jc w:val="center"/>
            </w:pPr>
            <w:r w:rsidRPr="00F70CE6">
              <w:t>2.0564</w:t>
            </w:r>
          </w:p>
        </w:tc>
        <w:tc>
          <w:tcPr>
            <w:tcW w:w="1000" w:type="pct"/>
            <w:tcBorders>
              <w:top w:val="nil"/>
              <w:left w:val="nil"/>
              <w:bottom w:val="nil"/>
              <w:right w:val="nil"/>
            </w:tcBorders>
            <w:shd w:val="clear" w:color="auto" w:fill="auto"/>
            <w:hideMark/>
          </w:tcPr>
          <w:p w14:paraId="0742D120" w14:textId="77777777" w:rsidR="00F70CE6" w:rsidRPr="00F70CE6" w:rsidRDefault="00F70CE6" w:rsidP="00C50188">
            <w:pPr>
              <w:jc w:val="center"/>
            </w:pPr>
            <w:r w:rsidRPr="00F70CE6">
              <w:t>7.84</w:t>
            </w:r>
          </w:p>
        </w:tc>
        <w:tc>
          <w:tcPr>
            <w:tcW w:w="1000" w:type="pct"/>
            <w:tcBorders>
              <w:top w:val="nil"/>
              <w:left w:val="nil"/>
              <w:bottom w:val="nil"/>
              <w:right w:val="nil"/>
            </w:tcBorders>
            <w:shd w:val="clear" w:color="auto" w:fill="auto"/>
            <w:hideMark/>
          </w:tcPr>
          <w:p w14:paraId="295D6A14" w14:textId="77777777" w:rsidR="00F70CE6" w:rsidRPr="00F70CE6" w:rsidRDefault="00F70CE6" w:rsidP="00C50188">
            <w:pPr>
              <w:jc w:val="center"/>
            </w:pPr>
            <w:r w:rsidRPr="00F70CE6">
              <w:t>1.98</w:t>
            </w:r>
          </w:p>
        </w:tc>
        <w:tc>
          <w:tcPr>
            <w:tcW w:w="1000" w:type="pct"/>
            <w:tcBorders>
              <w:top w:val="nil"/>
              <w:left w:val="nil"/>
              <w:bottom w:val="nil"/>
              <w:right w:val="single" w:sz="4" w:space="0" w:color="auto"/>
            </w:tcBorders>
          </w:tcPr>
          <w:p w14:paraId="7FBB569B" w14:textId="77777777" w:rsidR="00F70CE6" w:rsidRPr="00F70CE6" w:rsidRDefault="00F70CE6" w:rsidP="00C50188">
            <w:pPr>
              <w:jc w:val="center"/>
            </w:pPr>
            <w:r w:rsidRPr="00F70CE6">
              <w:t>76.7</w:t>
            </w:r>
          </w:p>
        </w:tc>
      </w:tr>
      <w:tr w:rsidR="00F70CE6" w:rsidRPr="00F70CE6" w14:paraId="7F0BFA0B" w14:textId="77777777" w:rsidTr="00BF4603">
        <w:trPr>
          <w:trHeight w:val="288"/>
          <w:jc w:val="center"/>
        </w:trPr>
        <w:tc>
          <w:tcPr>
            <w:tcW w:w="1000" w:type="pct"/>
            <w:tcBorders>
              <w:top w:val="nil"/>
              <w:left w:val="single" w:sz="4" w:space="0" w:color="auto"/>
              <w:bottom w:val="nil"/>
              <w:right w:val="nil"/>
            </w:tcBorders>
            <w:shd w:val="clear" w:color="auto" w:fill="auto"/>
            <w:noWrap/>
            <w:hideMark/>
          </w:tcPr>
          <w:p w14:paraId="19D632C9" w14:textId="77777777" w:rsidR="00F70CE6" w:rsidRPr="00F70CE6" w:rsidRDefault="00F70CE6" w:rsidP="00F70CE6">
            <w:pPr>
              <w:jc w:val="both"/>
            </w:pPr>
            <w:r w:rsidRPr="00F70CE6">
              <w:t>T3</w:t>
            </w:r>
          </w:p>
        </w:tc>
        <w:tc>
          <w:tcPr>
            <w:tcW w:w="1000" w:type="pct"/>
            <w:tcBorders>
              <w:top w:val="nil"/>
              <w:left w:val="nil"/>
              <w:bottom w:val="nil"/>
              <w:right w:val="nil"/>
            </w:tcBorders>
            <w:shd w:val="clear" w:color="auto" w:fill="auto"/>
            <w:noWrap/>
            <w:hideMark/>
          </w:tcPr>
          <w:p w14:paraId="49670EB4" w14:textId="77777777" w:rsidR="00F70CE6" w:rsidRPr="00F70CE6" w:rsidRDefault="00F70CE6" w:rsidP="00C50188">
            <w:pPr>
              <w:jc w:val="center"/>
            </w:pPr>
            <w:r w:rsidRPr="00F70CE6">
              <w:t>1.9680</w:t>
            </w:r>
          </w:p>
        </w:tc>
        <w:tc>
          <w:tcPr>
            <w:tcW w:w="1000" w:type="pct"/>
            <w:tcBorders>
              <w:top w:val="nil"/>
              <w:left w:val="nil"/>
              <w:bottom w:val="nil"/>
              <w:right w:val="nil"/>
            </w:tcBorders>
            <w:shd w:val="clear" w:color="auto" w:fill="auto"/>
            <w:hideMark/>
          </w:tcPr>
          <w:p w14:paraId="11ABE663" w14:textId="77777777" w:rsidR="00F70CE6" w:rsidRPr="00F70CE6" w:rsidRDefault="00F70CE6" w:rsidP="00C50188">
            <w:pPr>
              <w:jc w:val="center"/>
            </w:pPr>
            <w:r w:rsidRPr="00F70CE6">
              <w:t>7.76</w:t>
            </w:r>
          </w:p>
        </w:tc>
        <w:tc>
          <w:tcPr>
            <w:tcW w:w="1000" w:type="pct"/>
            <w:tcBorders>
              <w:top w:val="nil"/>
              <w:left w:val="nil"/>
              <w:bottom w:val="nil"/>
              <w:right w:val="nil"/>
            </w:tcBorders>
            <w:shd w:val="clear" w:color="auto" w:fill="auto"/>
            <w:hideMark/>
          </w:tcPr>
          <w:p w14:paraId="0AB21306" w14:textId="77777777" w:rsidR="00F70CE6" w:rsidRPr="00F70CE6" w:rsidRDefault="00F70CE6" w:rsidP="00C50188">
            <w:pPr>
              <w:jc w:val="center"/>
            </w:pPr>
            <w:r w:rsidRPr="00F70CE6">
              <w:t>2.27</w:t>
            </w:r>
          </w:p>
        </w:tc>
        <w:tc>
          <w:tcPr>
            <w:tcW w:w="1000" w:type="pct"/>
            <w:tcBorders>
              <w:top w:val="nil"/>
              <w:left w:val="nil"/>
              <w:bottom w:val="nil"/>
              <w:right w:val="single" w:sz="4" w:space="0" w:color="auto"/>
            </w:tcBorders>
          </w:tcPr>
          <w:p w14:paraId="6C90835A" w14:textId="77777777" w:rsidR="00F70CE6" w:rsidRPr="00F70CE6" w:rsidRDefault="00F70CE6" w:rsidP="00C50188">
            <w:pPr>
              <w:jc w:val="center"/>
            </w:pPr>
            <w:r w:rsidRPr="00F70CE6">
              <w:t>73.4</w:t>
            </w:r>
          </w:p>
        </w:tc>
      </w:tr>
      <w:tr w:rsidR="00F70CE6" w:rsidRPr="00F70CE6" w14:paraId="3B20419A" w14:textId="77777777" w:rsidTr="00BF4603">
        <w:trPr>
          <w:trHeight w:val="288"/>
          <w:jc w:val="center"/>
        </w:trPr>
        <w:tc>
          <w:tcPr>
            <w:tcW w:w="1000" w:type="pct"/>
            <w:tcBorders>
              <w:top w:val="nil"/>
              <w:left w:val="single" w:sz="4" w:space="0" w:color="auto"/>
              <w:bottom w:val="single" w:sz="4" w:space="0" w:color="auto"/>
              <w:right w:val="nil"/>
            </w:tcBorders>
            <w:shd w:val="clear" w:color="auto" w:fill="auto"/>
            <w:noWrap/>
            <w:hideMark/>
          </w:tcPr>
          <w:p w14:paraId="09847CFF" w14:textId="77777777" w:rsidR="00F70CE6" w:rsidRPr="00F70CE6" w:rsidRDefault="00F70CE6" w:rsidP="00F70CE6">
            <w:pPr>
              <w:jc w:val="both"/>
            </w:pPr>
            <w:r w:rsidRPr="00F70CE6">
              <w:t>T4</w:t>
            </w:r>
          </w:p>
        </w:tc>
        <w:tc>
          <w:tcPr>
            <w:tcW w:w="1000" w:type="pct"/>
            <w:tcBorders>
              <w:top w:val="nil"/>
              <w:left w:val="nil"/>
              <w:bottom w:val="single" w:sz="4" w:space="0" w:color="auto"/>
              <w:right w:val="nil"/>
            </w:tcBorders>
            <w:shd w:val="clear" w:color="auto" w:fill="auto"/>
            <w:noWrap/>
            <w:hideMark/>
          </w:tcPr>
          <w:p w14:paraId="3ABC05FF" w14:textId="77777777" w:rsidR="00F70CE6" w:rsidRPr="00F70CE6" w:rsidRDefault="00F70CE6" w:rsidP="00C50188">
            <w:pPr>
              <w:jc w:val="center"/>
            </w:pPr>
            <w:r w:rsidRPr="00F70CE6">
              <w:t>1.7883</w:t>
            </w:r>
          </w:p>
        </w:tc>
        <w:tc>
          <w:tcPr>
            <w:tcW w:w="1000" w:type="pct"/>
            <w:tcBorders>
              <w:top w:val="nil"/>
              <w:left w:val="nil"/>
              <w:bottom w:val="single" w:sz="4" w:space="0" w:color="auto"/>
              <w:right w:val="nil"/>
            </w:tcBorders>
            <w:shd w:val="clear" w:color="auto" w:fill="auto"/>
            <w:hideMark/>
          </w:tcPr>
          <w:p w14:paraId="5A3EECCA" w14:textId="77777777" w:rsidR="00F70CE6" w:rsidRPr="00F70CE6" w:rsidRDefault="00F70CE6" w:rsidP="00C50188">
            <w:pPr>
              <w:jc w:val="center"/>
            </w:pPr>
            <w:r w:rsidRPr="00F70CE6">
              <w:t>7.76</w:t>
            </w:r>
          </w:p>
        </w:tc>
        <w:tc>
          <w:tcPr>
            <w:tcW w:w="1000" w:type="pct"/>
            <w:tcBorders>
              <w:top w:val="nil"/>
              <w:left w:val="nil"/>
              <w:bottom w:val="single" w:sz="4" w:space="0" w:color="auto"/>
              <w:right w:val="nil"/>
            </w:tcBorders>
            <w:shd w:val="clear" w:color="auto" w:fill="auto"/>
            <w:hideMark/>
          </w:tcPr>
          <w:p w14:paraId="3B0EE377" w14:textId="77777777" w:rsidR="00F70CE6" w:rsidRPr="00F70CE6" w:rsidRDefault="00F70CE6" w:rsidP="00C50188">
            <w:pPr>
              <w:jc w:val="center"/>
            </w:pPr>
            <w:r w:rsidRPr="00F70CE6">
              <w:t>2.14</w:t>
            </w:r>
          </w:p>
        </w:tc>
        <w:tc>
          <w:tcPr>
            <w:tcW w:w="1000" w:type="pct"/>
            <w:tcBorders>
              <w:top w:val="nil"/>
              <w:left w:val="nil"/>
              <w:bottom w:val="single" w:sz="4" w:space="0" w:color="auto"/>
              <w:right w:val="single" w:sz="4" w:space="0" w:color="auto"/>
            </w:tcBorders>
          </w:tcPr>
          <w:p w14:paraId="45391D27" w14:textId="77777777" w:rsidR="00F70CE6" w:rsidRPr="00F70CE6" w:rsidRDefault="00F70CE6" w:rsidP="00C50188">
            <w:pPr>
              <w:jc w:val="center"/>
            </w:pPr>
            <w:r w:rsidRPr="00F70CE6">
              <w:t>66.7</w:t>
            </w:r>
          </w:p>
        </w:tc>
      </w:tr>
    </w:tbl>
    <w:p w14:paraId="5F818204" w14:textId="77777777" w:rsidR="00F70CE6" w:rsidRPr="00F70CE6" w:rsidRDefault="00F70CE6" w:rsidP="00F70CE6">
      <w:pPr>
        <w:jc w:val="center"/>
      </w:pPr>
      <w:r w:rsidRPr="00F70CE6">
        <w:t>Fuente: Elaboración propia, 2021</w:t>
      </w:r>
    </w:p>
    <w:p w14:paraId="52182BD3" w14:textId="77777777" w:rsidR="005B21A8" w:rsidRPr="005B21A8" w:rsidRDefault="005B21A8" w:rsidP="005B21A8">
      <w:pPr>
        <w:pStyle w:val="FZ1"/>
        <w:rPr>
          <w:rFonts w:ascii="Times New Roman" w:hAnsi="Times New Roman" w:cs="Times New Roman"/>
        </w:rPr>
      </w:pPr>
    </w:p>
    <w:p w14:paraId="2C3616E0" w14:textId="0A574C56" w:rsidR="00BD3586" w:rsidRPr="00D21975" w:rsidRDefault="005B21A8" w:rsidP="005B21A8">
      <w:pPr>
        <w:pStyle w:val="FZ1"/>
        <w:rPr>
          <w:rFonts w:ascii="Times New Roman" w:hAnsi="Times New Roman" w:cs="Times New Roman"/>
        </w:rPr>
      </w:pPr>
      <w:r w:rsidRPr="005B21A8">
        <w:rPr>
          <w:rFonts w:ascii="Times New Roman" w:hAnsi="Times New Roman" w:cs="Times New Roman"/>
          <w:sz w:val="32"/>
          <w:szCs w:val="32"/>
        </w:rPr>
        <w:t>Resultados</w:t>
      </w:r>
    </w:p>
    <w:p w14:paraId="3F93F3A0" w14:textId="04561A6B" w:rsidR="007B7BD6" w:rsidRDefault="00C50188" w:rsidP="005B21A8">
      <w:pPr>
        <w:spacing w:line="360" w:lineRule="auto"/>
        <w:ind w:firstLine="708"/>
        <w:jc w:val="both"/>
        <w:rPr>
          <w:lang w:val="es-MX"/>
        </w:rPr>
      </w:pPr>
      <w:r w:rsidRPr="005B21A8">
        <w:rPr>
          <w:lang w:val="es-MX"/>
        </w:rPr>
        <w:t xml:space="preserve">Las apariciones de los brotes fueron consideradas como valores medios porque se obtuvo un porcentaje del 12% de plántulas (Jurado </w:t>
      </w:r>
      <w:r w:rsidRPr="005B21A8">
        <w:rPr>
          <w:i/>
          <w:iCs/>
          <w:lang w:val="es-MX"/>
        </w:rPr>
        <w:t>et al</w:t>
      </w:r>
      <w:r w:rsidRPr="005B21A8">
        <w:rPr>
          <w:lang w:val="es-MX"/>
        </w:rPr>
        <w:t xml:space="preserve">., 1992). La duración de la aparición de los brotes se considera como el tiempo en días transcurridos en que aparecieron las plántulas en las macetas, y fueron consideradas lentas porque se obtuvo la mayor parte de aparición de las plántulas después de 7 días (Jurado </w:t>
      </w:r>
      <w:r w:rsidRPr="005B21A8">
        <w:rPr>
          <w:i/>
          <w:iCs/>
          <w:lang w:val="es-MX"/>
        </w:rPr>
        <w:t>et al</w:t>
      </w:r>
      <w:r w:rsidRPr="005B21A8">
        <w:rPr>
          <w:lang w:val="es-MX"/>
        </w:rPr>
        <w:t xml:space="preserve">., 1992). Utilizando los datos registrados, se determinaron la cantidad de aparición de brotes (PB) y la tasa de aparición de brote (TB) (Maguire, 1962; Hartmann </w:t>
      </w:r>
      <w:r w:rsidRPr="005B21A8">
        <w:rPr>
          <w:i/>
          <w:iCs/>
          <w:lang w:val="es-MX"/>
        </w:rPr>
        <w:t>et al</w:t>
      </w:r>
      <w:r w:rsidRPr="005B21A8">
        <w:rPr>
          <w:lang w:val="es-MX"/>
        </w:rPr>
        <w:t>., 1974). El número de aparición de brotes se tomó de las 48 macetas del experimento, sólo una maceta no registró aparición de brotes; estos datos se tomaron cada 15 días. El primer brote apareció 33 días después de la siembra. Al día 96, se obtuvo un total de 310 plántulas, lo que se consideró un porcentaje de aparición de brotes de 12%. El número de hojas se contó de las 310 plántulas al día 96 de registro. El promedio de hojas de los brotes es de 6. El valor más frecuente de hojas en los brotes es de 4. La máxima cantidad de hojas que tiene una plántula es de 18. La mínima cantidad de hojas que tiene una plántula es de 2. Se utilizó un flexómetro para tomar la altura en centímetros de las 310 plántulas al día 96 de registro desde la base del tallo hasta el ápice. El promedio de la altura de los brotes es de 2 centímetros. El valor más frecuente de altura de los brotes es de 1 centímetro. La máxima altura que tiene una plántula es de 13.5. La mínima altura que tiene una plántula es de 0.5 centímetros. Se tomó la longitud de las hojas en centímetros de las 310 plántulas al día 96 de registro. El promedio de la longitud de las hojas de los brotes es de 1 centímetro. El valor más frecuente de la longitud de las hojas de los brotes es de 1 centímetro. La máxima la longitud de las hojas que tiene una plántula es de 3. La mínima la longitud de las hojas que tiene una plántula es de 0.5 centímetros. El resumen de los valores es mostrado en la Tabla 4.</w:t>
      </w:r>
    </w:p>
    <w:p w14:paraId="76402966" w14:textId="1681268B" w:rsidR="005B21A8" w:rsidRDefault="005B21A8" w:rsidP="005B21A8">
      <w:pPr>
        <w:spacing w:line="360" w:lineRule="auto"/>
        <w:ind w:firstLine="708"/>
        <w:jc w:val="both"/>
        <w:rPr>
          <w:lang w:val="es-MX"/>
        </w:rPr>
      </w:pPr>
    </w:p>
    <w:p w14:paraId="73B058F7" w14:textId="4F51FDF5" w:rsidR="005B21A8" w:rsidRDefault="005B21A8" w:rsidP="005B21A8">
      <w:pPr>
        <w:spacing w:line="360" w:lineRule="auto"/>
        <w:ind w:firstLine="708"/>
        <w:jc w:val="both"/>
        <w:rPr>
          <w:lang w:val="es-MX"/>
        </w:rPr>
      </w:pPr>
    </w:p>
    <w:p w14:paraId="17886E28" w14:textId="77777777" w:rsidR="005B21A8" w:rsidRPr="005B21A8" w:rsidRDefault="005B21A8" w:rsidP="005B21A8">
      <w:pPr>
        <w:spacing w:line="360" w:lineRule="auto"/>
        <w:ind w:firstLine="708"/>
        <w:jc w:val="both"/>
        <w:rPr>
          <w:lang w:val="es-MX"/>
        </w:rPr>
      </w:pPr>
    </w:p>
    <w:p w14:paraId="0E986C7F" w14:textId="77777777" w:rsidR="00C50188" w:rsidRPr="005B21A8" w:rsidRDefault="00C50188" w:rsidP="00C50188">
      <w:pPr>
        <w:jc w:val="center"/>
        <w:rPr>
          <w:lang w:val="es-MX"/>
        </w:rPr>
      </w:pPr>
      <w:r w:rsidRPr="005B21A8">
        <w:rPr>
          <w:b/>
          <w:bCs/>
          <w:lang w:val="es-MX"/>
        </w:rPr>
        <w:lastRenderedPageBreak/>
        <w:t>Tabla 4</w:t>
      </w:r>
      <w:r w:rsidRPr="005B21A8">
        <w:rPr>
          <w:lang w:val="es-MX"/>
        </w:rPr>
        <w:t>: Estadísticas de las Características Físicas de los Brotes</w:t>
      </w:r>
    </w:p>
    <w:tbl>
      <w:tblPr>
        <w:tblW w:w="44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848"/>
        <w:gridCol w:w="1512"/>
        <w:gridCol w:w="1550"/>
        <w:gridCol w:w="1020"/>
      </w:tblGrid>
      <w:tr w:rsidR="00C50188" w:rsidRPr="00C50188" w14:paraId="3699C2E0" w14:textId="77777777" w:rsidTr="00BF4603">
        <w:trPr>
          <w:trHeight w:val="288"/>
          <w:jc w:val="center"/>
        </w:trPr>
        <w:tc>
          <w:tcPr>
            <w:tcW w:w="1677" w:type="pct"/>
            <w:tcBorders>
              <w:top w:val="single" w:sz="4" w:space="0" w:color="auto"/>
              <w:left w:val="single" w:sz="4" w:space="0" w:color="auto"/>
              <w:bottom w:val="single" w:sz="4" w:space="0" w:color="auto"/>
              <w:right w:val="nil"/>
            </w:tcBorders>
            <w:shd w:val="clear" w:color="auto" w:fill="auto"/>
            <w:noWrap/>
            <w:hideMark/>
          </w:tcPr>
          <w:p w14:paraId="08870002" w14:textId="77777777" w:rsidR="00C50188" w:rsidRPr="005B21A8" w:rsidRDefault="00C50188" w:rsidP="00C50188">
            <w:pPr>
              <w:jc w:val="both"/>
              <w:rPr>
                <w:lang w:val="es-MX"/>
              </w:rPr>
            </w:pPr>
          </w:p>
        </w:tc>
        <w:tc>
          <w:tcPr>
            <w:tcW w:w="622" w:type="pct"/>
            <w:tcBorders>
              <w:top w:val="single" w:sz="4" w:space="0" w:color="auto"/>
              <w:left w:val="nil"/>
              <w:bottom w:val="single" w:sz="4" w:space="0" w:color="auto"/>
              <w:right w:val="nil"/>
            </w:tcBorders>
            <w:shd w:val="clear" w:color="auto" w:fill="auto"/>
            <w:noWrap/>
            <w:hideMark/>
          </w:tcPr>
          <w:p w14:paraId="3E180539" w14:textId="77777777" w:rsidR="00C50188" w:rsidRPr="00C50188" w:rsidRDefault="00C50188" w:rsidP="00C50188">
            <w:pPr>
              <w:jc w:val="center"/>
            </w:pPr>
            <w:r w:rsidRPr="00C50188">
              <w:t>Media</w:t>
            </w:r>
          </w:p>
        </w:tc>
        <w:tc>
          <w:tcPr>
            <w:tcW w:w="1032" w:type="pct"/>
            <w:tcBorders>
              <w:top w:val="single" w:sz="4" w:space="0" w:color="auto"/>
              <w:left w:val="nil"/>
              <w:bottom w:val="single" w:sz="4" w:space="0" w:color="auto"/>
              <w:right w:val="nil"/>
            </w:tcBorders>
            <w:shd w:val="clear" w:color="auto" w:fill="auto"/>
            <w:noWrap/>
            <w:hideMark/>
          </w:tcPr>
          <w:p w14:paraId="3A8D33E6" w14:textId="77777777" w:rsidR="00C50188" w:rsidRPr="00C50188" w:rsidRDefault="00C50188" w:rsidP="00C50188">
            <w:pPr>
              <w:jc w:val="center"/>
            </w:pPr>
            <w:r w:rsidRPr="00C50188">
              <w:t>Valor mínimo</w:t>
            </w:r>
          </w:p>
        </w:tc>
        <w:tc>
          <w:tcPr>
            <w:tcW w:w="1055" w:type="pct"/>
            <w:tcBorders>
              <w:top w:val="single" w:sz="4" w:space="0" w:color="auto"/>
              <w:left w:val="nil"/>
              <w:bottom w:val="single" w:sz="4" w:space="0" w:color="auto"/>
              <w:right w:val="nil"/>
            </w:tcBorders>
            <w:shd w:val="clear" w:color="auto" w:fill="auto"/>
            <w:noWrap/>
            <w:hideMark/>
          </w:tcPr>
          <w:p w14:paraId="560CD060" w14:textId="77777777" w:rsidR="00C50188" w:rsidRPr="00C50188" w:rsidRDefault="00C50188" w:rsidP="00C50188">
            <w:pPr>
              <w:jc w:val="center"/>
            </w:pPr>
            <w:r w:rsidRPr="00C50188">
              <w:t>Valor máximo</w:t>
            </w:r>
          </w:p>
        </w:tc>
        <w:tc>
          <w:tcPr>
            <w:tcW w:w="614" w:type="pct"/>
            <w:tcBorders>
              <w:top w:val="single" w:sz="4" w:space="0" w:color="auto"/>
              <w:left w:val="nil"/>
              <w:bottom w:val="single" w:sz="4" w:space="0" w:color="auto"/>
              <w:right w:val="single" w:sz="4" w:space="0" w:color="auto"/>
            </w:tcBorders>
            <w:shd w:val="clear" w:color="auto" w:fill="auto"/>
            <w:noWrap/>
            <w:hideMark/>
          </w:tcPr>
          <w:p w14:paraId="44A2DA33" w14:textId="77777777" w:rsidR="00C50188" w:rsidRPr="00C50188" w:rsidRDefault="00C50188" w:rsidP="00C50188">
            <w:pPr>
              <w:jc w:val="center"/>
            </w:pPr>
            <w:r w:rsidRPr="00C50188">
              <w:t>Mediana</w:t>
            </w:r>
          </w:p>
        </w:tc>
      </w:tr>
      <w:tr w:rsidR="00C50188" w:rsidRPr="00C50188" w14:paraId="1846516A" w14:textId="77777777" w:rsidTr="00BF4603">
        <w:trPr>
          <w:trHeight w:val="288"/>
          <w:jc w:val="center"/>
        </w:trPr>
        <w:tc>
          <w:tcPr>
            <w:tcW w:w="1677" w:type="pct"/>
            <w:tcBorders>
              <w:top w:val="single" w:sz="4" w:space="0" w:color="auto"/>
              <w:left w:val="single" w:sz="4" w:space="0" w:color="auto"/>
              <w:bottom w:val="nil"/>
              <w:right w:val="nil"/>
            </w:tcBorders>
            <w:shd w:val="clear" w:color="auto" w:fill="auto"/>
            <w:noWrap/>
            <w:hideMark/>
          </w:tcPr>
          <w:p w14:paraId="43D5D7E0" w14:textId="77777777" w:rsidR="00C50188" w:rsidRPr="005B21A8" w:rsidRDefault="00C50188" w:rsidP="00C50188">
            <w:pPr>
              <w:jc w:val="both"/>
              <w:rPr>
                <w:lang w:val="es-MX"/>
              </w:rPr>
            </w:pPr>
            <w:r w:rsidRPr="005B21A8">
              <w:rPr>
                <w:lang w:val="es-MX"/>
              </w:rPr>
              <w:t>Número de hojas en los brotes</w:t>
            </w:r>
          </w:p>
        </w:tc>
        <w:tc>
          <w:tcPr>
            <w:tcW w:w="622" w:type="pct"/>
            <w:tcBorders>
              <w:top w:val="single" w:sz="4" w:space="0" w:color="auto"/>
              <w:left w:val="nil"/>
              <w:bottom w:val="nil"/>
              <w:right w:val="nil"/>
            </w:tcBorders>
            <w:shd w:val="clear" w:color="auto" w:fill="auto"/>
            <w:noWrap/>
            <w:hideMark/>
          </w:tcPr>
          <w:p w14:paraId="7DC797AB" w14:textId="77777777" w:rsidR="00C50188" w:rsidRPr="00C50188" w:rsidRDefault="00C50188" w:rsidP="00C50188">
            <w:pPr>
              <w:jc w:val="center"/>
            </w:pPr>
            <w:r w:rsidRPr="00C50188">
              <w:t>6.1053</w:t>
            </w:r>
          </w:p>
        </w:tc>
        <w:tc>
          <w:tcPr>
            <w:tcW w:w="1032" w:type="pct"/>
            <w:tcBorders>
              <w:top w:val="single" w:sz="4" w:space="0" w:color="auto"/>
              <w:left w:val="nil"/>
              <w:bottom w:val="nil"/>
              <w:right w:val="nil"/>
            </w:tcBorders>
            <w:shd w:val="clear" w:color="auto" w:fill="auto"/>
            <w:noWrap/>
            <w:hideMark/>
          </w:tcPr>
          <w:p w14:paraId="6D127F84" w14:textId="77777777" w:rsidR="00C50188" w:rsidRPr="00C50188" w:rsidRDefault="00C50188" w:rsidP="00C50188">
            <w:pPr>
              <w:jc w:val="center"/>
            </w:pPr>
            <w:r w:rsidRPr="00C50188">
              <w:t>2</w:t>
            </w:r>
          </w:p>
        </w:tc>
        <w:tc>
          <w:tcPr>
            <w:tcW w:w="1055" w:type="pct"/>
            <w:tcBorders>
              <w:top w:val="single" w:sz="4" w:space="0" w:color="auto"/>
              <w:left w:val="nil"/>
              <w:bottom w:val="nil"/>
              <w:right w:val="nil"/>
            </w:tcBorders>
            <w:shd w:val="clear" w:color="auto" w:fill="auto"/>
            <w:noWrap/>
            <w:hideMark/>
          </w:tcPr>
          <w:p w14:paraId="79B2E9A7" w14:textId="77777777" w:rsidR="00C50188" w:rsidRPr="00C50188" w:rsidRDefault="00C50188" w:rsidP="00C50188">
            <w:pPr>
              <w:jc w:val="center"/>
            </w:pPr>
            <w:r w:rsidRPr="00C50188">
              <w:t>18</w:t>
            </w:r>
          </w:p>
        </w:tc>
        <w:tc>
          <w:tcPr>
            <w:tcW w:w="614" w:type="pct"/>
            <w:tcBorders>
              <w:top w:val="single" w:sz="4" w:space="0" w:color="auto"/>
              <w:left w:val="nil"/>
              <w:bottom w:val="nil"/>
              <w:right w:val="single" w:sz="4" w:space="0" w:color="auto"/>
            </w:tcBorders>
            <w:shd w:val="clear" w:color="auto" w:fill="auto"/>
            <w:noWrap/>
            <w:hideMark/>
          </w:tcPr>
          <w:p w14:paraId="5FBAB1DD" w14:textId="77777777" w:rsidR="00C50188" w:rsidRPr="00C50188" w:rsidRDefault="00C50188" w:rsidP="00C50188">
            <w:pPr>
              <w:jc w:val="center"/>
            </w:pPr>
            <w:r w:rsidRPr="00C50188">
              <w:t>4</w:t>
            </w:r>
          </w:p>
        </w:tc>
      </w:tr>
      <w:tr w:rsidR="00C50188" w:rsidRPr="00C50188" w14:paraId="65C4E1B3" w14:textId="77777777" w:rsidTr="00BF4603">
        <w:trPr>
          <w:trHeight w:val="288"/>
          <w:jc w:val="center"/>
        </w:trPr>
        <w:tc>
          <w:tcPr>
            <w:tcW w:w="1677" w:type="pct"/>
            <w:tcBorders>
              <w:top w:val="nil"/>
              <w:left w:val="single" w:sz="4" w:space="0" w:color="auto"/>
              <w:bottom w:val="nil"/>
              <w:right w:val="nil"/>
            </w:tcBorders>
            <w:shd w:val="clear" w:color="auto" w:fill="auto"/>
            <w:noWrap/>
            <w:hideMark/>
          </w:tcPr>
          <w:p w14:paraId="5CAE1916" w14:textId="77777777" w:rsidR="00C50188" w:rsidRPr="005B21A8" w:rsidRDefault="00C50188" w:rsidP="00C50188">
            <w:pPr>
              <w:jc w:val="both"/>
              <w:rPr>
                <w:lang w:val="es-MX"/>
              </w:rPr>
            </w:pPr>
            <w:r w:rsidRPr="005B21A8">
              <w:rPr>
                <w:lang w:val="es-MX"/>
              </w:rPr>
              <w:t>Altura de los brotes (cm)</w:t>
            </w:r>
          </w:p>
        </w:tc>
        <w:tc>
          <w:tcPr>
            <w:tcW w:w="622" w:type="pct"/>
            <w:tcBorders>
              <w:top w:val="nil"/>
              <w:left w:val="nil"/>
              <w:bottom w:val="nil"/>
              <w:right w:val="nil"/>
            </w:tcBorders>
            <w:shd w:val="clear" w:color="auto" w:fill="auto"/>
            <w:noWrap/>
            <w:hideMark/>
          </w:tcPr>
          <w:p w14:paraId="1E054912" w14:textId="77777777" w:rsidR="00C50188" w:rsidRPr="00C50188" w:rsidRDefault="00C50188" w:rsidP="00C50188">
            <w:pPr>
              <w:jc w:val="center"/>
            </w:pPr>
            <w:r w:rsidRPr="00C50188">
              <w:t>2.4298</w:t>
            </w:r>
          </w:p>
        </w:tc>
        <w:tc>
          <w:tcPr>
            <w:tcW w:w="1032" w:type="pct"/>
            <w:tcBorders>
              <w:top w:val="nil"/>
              <w:left w:val="nil"/>
              <w:bottom w:val="nil"/>
              <w:right w:val="nil"/>
            </w:tcBorders>
            <w:shd w:val="clear" w:color="auto" w:fill="auto"/>
            <w:noWrap/>
            <w:hideMark/>
          </w:tcPr>
          <w:p w14:paraId="4BD0F67A" w14:textId="77777777" w:rsidR="00C50188" w:rsidRPr="00C50188" w:rsidRDefault="00C50188" w:rsidP="00C50188">
            <w:pPr>
              <w:jc w:val="center"/>
            </w:pPr>
            <w:r w:rsidRPr="00C50188">
              <w:t>0.5</w:t>
            </w:r>
          </w:p>
        </w:tc>
        <w:tc>
          <w:tcPr>
            <w:tcW w:w="1055" w:type="pct"/>
            <w:tcBorders>
              <w:top w:val="nil"/>
              <w:left w:val="nil"/>
              <w:bottom w:val="nil"/>
              <w:right w:val="nil"/>
            </w:tcBorders>
            <w:shd w:val="clear" w:color="auto" w:fill="auto"/>
            <w:noWrap/>
            <w:hideMark/>
          </w:tcPr>
          <w:p w14:paraId="2A8C9657" w14:textId="77777777" w:rsidR="00C50188" w:rsidRPr="00C50188" w:rsidRDefault="00C50188" w:rsidP="00C50188">
            <w:pPr>
              <w:jc w:val="center"/>
            </w:pPr>
            <w:r w:rsidRPr="00C50188">
              <w:t>13.5</w:t>
            </w:r>
          </w:p>
        </w:tc>
        <w:tc>
          <w:tcPr>
            <w:tcW w:w="614" w:type="pct"/>
            <w:tcBorders>
              <w:top w:val="nil"/>
              <w:left w:val="nil"/>
              <w:bottom w:val="nil"/>
              <w:right w:val="single" w:sz="4" w:space="0" w:color="auto"/>
            </w:tcBorders>
            <w:shd w:val="clear" w:color="auto" w:fill="auto"/>
            <w:noWrap/>
            <w:hideMark/>
          </w:tcPr>
          <w:p w14:paraId="6E705049" w14:textId="77777777" w:rsidR="00C50188" w:rsidRPr="00C50188" w:rsidRDefault="00C50188" w:rsidP="00C50188">
            <w:pPr>
              <w:jc w:val="center"/>
            </w:pPr>
            <w:r w:rsidRPr="00C50188">
              <w:t>1</w:t>
            </w:r>
          </w:p>
        </w:tc>
      </w:tr>
      <w:tr w:rsidR="00C50188" w:rsidRPr="00C50188" w14:paraId="37C21C7A" w14:textId="77777777" w:rsidTr="00BF4603">
        <w:trPr>
          <w:trHeight w:val="288"/>
          <w:jc w:val="center"/>
        </w:trPr>
        <w:tc>
          <w:tcPr>
            <w:tcW w:w="1677" w:type="pct"/>
            <w:tcBorders>
              <w:top w:val="nil"/>
              <w:left w:val="single" w:sz="4" w:space="0" w:color="auto"/>
              <w:bottom w:val="single" w:sz="4" w:space="0" w:color="auto"/>
              <w:right w:val="nil"/>
            </w:tcBorders>
            <w:shd w:val="clear" w:color="auto" w:fill="auto"/>
            <w:noWrap/>
          </w:tcPr>
          <w:p w14:paraId="4D13807F" w14:textId="77777777" w:rsidR="00C50188" w:rsidRPr="005B21A8" w:rsidRDefault="00C50188" w:rsidP="00C50188">
            <w:pPr>
              <w:jc w:val="both"/>
              <w:rPr>
                <w:lang w:val="es-MX"/>
              </w:rPr>
            </w:pPr>
            <w:r w:rsidRPr="005B21A8">
              <w:rPr>
                <w:lang w:val="es-MX"/>
              </w:rPr>
              <w:t>Longitud de las hojas de los brotes (cm)</w:t>
            </w:r>
          </w:p>
        </w:tc>
        <w:tc>
          <w:tcPr>
            <w:tcW w:w="622" w:type="pct"/>
            <w:tcBorders>
              <w:top w:val="nil"/>
              <w:left w:val="nil"/>
              <w:bottom w:val="single" w:sz="4" w:space="0" w:color="auto"/>
              <w:right w:val="nil"/>
            </w:tcBorders>
            <w:shd w:val="clear" w:color="auto" w:fill="auto"/>
            <w:noWrap/>
          </w:tcPr>
          <w:p w14:paraId="00355445" w14:textId="77777777" w:rsidR="00C50188" w:rsidRPr="00C50188" w:rsidRDefault="00C50188" w:rsidP="00C50188">
            <w:pPr>
              <w:jc w:val="center"/>
            </w:pPr>
            <w:r w:rsidRPr="00C50188">
              <w:t>1.2396</w:t>
            </w:r>
          </w:p>
        </w:tc>
        <w:tc>
          <w:tcPr>
            <w:tcW w:w="1032" w:type="pct"/>
            <w:tcBorders>
              <w:top w:val="nil"/>
              <w:left w:val="nil"/>
              <w:bottom w:val="single" w:sz="4" w:space="0" w:color="auto"/>
              <w:right w:val="nil"/>
            </w:tcBorders>
            <w:shd w:val="clear" w:color="auto" w:fill="auto"/>
            <w:noWrap/>
          </w:tcPr>
          <w:p w14:paraId="18EE7D29" w14:textId="77777777" w:rsidR="00C50188" w:rsidRPr="00C50188" w:rsidRDefault="00C50188" w:rsidP="00C50188">
            <w:pPr>
              <w:jc w:val="center"/>
            </w:pPr>
            <w:r w:rsidRPr="00C50188">
              <w:t>0.5</w:t>
            </w:r>
          </w:p>
        </w:tc>
        <w:tc>
          <w:tcPr>
            <w:tcW w:w="1055" w:type="pct"/>
            <w:tcBorders>
              <w:top w:val="nil"/>
              <w:left w:val="nil"/>
              <w:bottom w:val="single" w:sz="4" w:space="0" w:color="auto"/>
              <w:right w:val="nil"/>
            </w:tcBorders>
            <w:shd w:val="clear" w:color="auto" w:fill="auto"/>
            <w:noWrap/>
          </w:tcPr>
          <w:p w14:paraId="10445A2D" w14:textId="77777777" w:rsidR="00C50188" w:rsidRPr="00C50188" w:rsidRDefault="00C50188" w:rsidP="00C50188">
            <w:pPr>
              <w:jc w:val="center"/>
            </w:pPr>
            <w:r w:rsidRPr="00C50188">
              <w:t>3</w:t>
            </w:r>
          </w:p>
        </w:tc>
        <w:tc>
          <w:tcPr>
            <w:tcW w:w="614" w:type="pct"/>
            <w:tcBorders>
              <w:top w:val="nil"/>
              <w:left w:val="nil"/>
              <w:bottom w:val="single" w:sz="4" w:space="0" w:color="auto"/>
              <w:right w:val="single" w:sz="4" w:space="0" w:color="auto"/>
            </w:tcBorders>
            <w:shd w:val="clear" w:color="auto" w:fill="auto"/>
            <w:noWrap/>
          </w:tcPr>
          <w:p w14:paraId="29442EBF" w14:textId="77777777" w:rsidR="00C50188" w:rsidRPr="00C50188" w:rsidRDefault="00C50188" w:rsidP="00C50188">
            <w:pPr>
              <w:jc w:val="center"/>
            </w:pPr>
            <w:r w:rsidRPr="00C50188">
              <w:t>1</w:t>
            </w:r>
          </w:p>
        </w:tc>
      </w:tr>
    </w:tbl>
    <w:p w14:paraId="2CCB3E20" w14:textId="77777777" w:rsidR="00C50188" w:rsidRPr="00C50188" w:rsidRDefault="00C50188" w:rsidP="00C50188">
      <w:pPr>
        <w:jc w:val="center"/>
      </w:pPr>
      <w:r w:rsidRPr="00C50188">
        <w:t>Fuente: Elaboración Propia, 2021</w:t>
      </w:r>
    </w:p>
    <w:p w14:paraId="77298320" w14:textId="1075ED03" w:rsidR="00C50188" w:rsidRDefault="00C50188" w:rsidP="005B21A8">
      <w:pPr>
        <w:spacing w:line="360" w:lineRule="auto"/>
        <w:ind w:firstLine="708"/>
        <w:jc w:val="both"/>
        <w:rPr>
          <w:lang w:val="es-MX"/>
        </w:rPr>
      </w:pPr>
      <w:r w:rsidRPr="005B21A8">
        <w:rPr>
          <w:lang w:val="es-MX"/>
        </w:rPr>
        <w:t>Con los datos de registro de las características físicas de los brotes es posible obtener la cantidad de aparición de brotes (PB) y la tasa de aparición de brotes (TB), y se determinaron usando la ecuación de Hartmann (1974), donde la cantidad de aparición de brotes (PB) es igual al número de aparición de brotes dividido entre el número total de semillas; la tasa de aparición de brotes (TB) es igual al número de aparición de brotes dentro del intervalo de tiempo (N) multiplicado por el tiempo transcurrido entre el inicio de la prueba y el intervalo de medición (T) dividido entre la cantidad de aparición de brotes (PB) (Tabla 5).</w:t>
      </w:r>
    </w:p>
    <w:p w14:paraId="1712505A" w14:textId="77777777" w:rsidR="005B21A8" w:rsidRPr="005B21A8" w:rsidRDefault="005B21A8" w:rsidP="005B21A8">
      <w:pPr>
        <w:spacing w:line="360" w:lineRule="auto"/>
        <w:ind w:firstLine="708"/>
        <w:jc w:val="both"/>
        <w:rPr>
          <w:lang w:val="es-MX"/>
        </w:rPr>
      </w:pPr>
    </w:p>
    <w:p w14:paraId="61AC494B" w14:textId="77777777" w:rsidR="00C50188" w:rsidRPr="005B21A8" w:rsidRDefault="00C50188" w:rsidP="00C50188">
      <w:pPr>
        <w:jc w:val="center"/>
        <w:rPr>
          <w:lang w:val="es-MX"/>
        </w:rPr>
      </w:pPr>
      <w:r w:rsidRPr="005B21A8">
        <w:rPr>
          <w:b/>
          <w:bCs/>
          <w:lang w:val="es-MX"/>
        </w:rPr>
        <w:t>Tabla 5</w:t>
      </w:r>
      <w:r w:rsidRPr="005B21A8">
        <w:rPr>
          <w:lang w:val="es-MX"/>
        </w:rPr>
        <w:t>: Cantidad de Brotes (PB) y Tasa de Aparición de Brotes (TB)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529"/>
        <w:gridCol w:w="3368"/>
      </w:tblGrid>
      <w:tr w:rsidR="00C50188" w:rsidRPr="005B21A8" w14:paraId="2A4A52D5" w14:textId="77777777" w:rsidTr="00BF4603">
        <w:trPr>
          <w:trHeight w:val="288"/>
          <w:jc w:val="center"/>
        </w:trPr>
        <w:tc>
          <w:tcPr>
            <w:tcW w:w="0" w:type="auto"/>
            <w:tcBorders>
              <w:top w:val="single" w:sz="4" w:space="0" w:color="auto"/>
              <w:left w:val="single" w:sz="4" w:space="0" w:color="auto"/>
              <w:bottom w:val="single" w:sz="4" w:space="0" w:color="auto"/>
              <w:right w:val="nil"/>
            </w:tcBorders>
            <w:shd w:val="clear" w:color="auto" w:fill="auto"/>
            <w:hideMark/>
          </w:tcPr>
          <w:p w14:paraId="2984B1D1" w14:textId="77777777" w:rsidR="00C50188" w:rsidRPr="00C50188" w:rsidRDefault="00C50188" w:rsidP="00C50188">
            <w:pPr>
              <w:jc w:val="both"/>
            </w:pPr>
            <w:proofErr w:type="spellStart"/>
            <w:r w:rsidRPr="00C50188">
              <w:t>Tratamiento</w:t>
            </w:r>
            <w:proofErr w:type="spellEnd"/>
          </w:p>
        </w:tc>
        <w:tc>
          <w:tcPr>
            <w:tcW w:w="0" w:type="auto"/>
            <w:tcBorders>
              <w:top w:val="single" w:sz="4" w:space="0" w:color="auto"/>
              <w:left w:val="nil"/>
              <w:bottom w:val="single" w:sz="4" w:space="0" w:color="auto"/>
              <w:right w:val="nil"/>
            </w:tcBorders>
            <w:shd w:val="clear" w:color="auto" w:fill="auto"/>
            <w:hideMark/>
          </w:tcPr>
          <w:p w14:paraId="62A66428" w14:textId="77777777" w:rsidR="00C50188" w:rsidRPr="00C50188" w:rsidRDefault="00C50188" w:rsidP="00C50188">
            <w:pPr>
              <w:jc w:val="center"/>
            </w:pPr>
            <w:r w:rsidRPr="00C50188">
              <w:t>Cantidad de brotes (PB)</w:t>
            </w:r>
          </w:p>
        </w:tc>
        <w:tc>
          <w:tcPr>
            <w:tcW w:w="0" w:type="auto"/>
            <w:tcBorders>
              <w:top w:val="single" w:sz="4" w:space="0" w:color="auto"/>
              <w:left w:val="nil"/>
              <w:bottom w:val="single" w:sz="4" w:space="0" w:color="auto"/>
              <w:right w:val="single" w:sz="4" w:space="0" w:color="auto"/>
            </w:tcBorders>
            <w:shd w:val="clear" w:color="auto" w:fill="auto"/>
            <w:hideMark/>
          </w:tcPr>
          <w:p w14:paraId="245D4C71" w14:textId="77777777" w:rsidR="00C50188" w:rsidRPr="005B21A8" w:rsidRDefault="00C50188" w:rsidP="00C50188">
            <w:pPr>
              <w:jc w:val="center"/>
              <w:rPr>
                <w:lang w:val="es-MX"/>
              </w:rPr>
            </w:pPr>
            <w:r w:rsidRPr="005B21A8">
              <w:rPr>
                <w:lang w:val="es-MX"/>
              </w:rPr>
              <w:t>Tasa de aparición de brotes (TB)</w:t>
            </w:r>
          </w:p>
        </w:tc>
      </w:tr>
      <w:tr w:rsidR="00C50188" w:rsidRPr="00C50188" w14:paraId="46BDB74C" w14:textId="77777777" w:rsidTr="00BF4603">
        <w:trPr>
          <w:trHeight w:val="288"/>
          <w:jc w:val="center"/>
        </w:trPr>
        <w:tc>
          <w:tcPr>
            <w:tcW w:w="0" w:type="auto"/>
            <w:tcBorders>
              <w:top w:val="single" w:sz="4" w:space="0" w:color="auto"/>
              <w:left w:val="single" w:sz="4" w:space="0" w:color="auto"/>
              <w:bottom w:val="nil"/>
              <w:right w:val="nil"/>
            </w:tcBorders>
            <w:shd w:val="clear" w:color="auto" w:fill="auto"/>
            <w:noWrap/>
            <w:hideMark/>
          </w:tcPr>
          <w:p w14:paraId="00588FAC" w14:textId="77777777" w:rsidR="00C50188" w:rsidRPr="00C50188" w:rsidRDefault="00C50188" w:rsidP="00C50188">
            <w:pPr>
              <w:jc w:val="both"/>
            </w:pPr>
            <w:r w:rsidRPr="00C50188">
              <w:t>T1</w:t>
            </w:r>
          </w:p>
        </w:tc>
        <w:tc>
          <w:tcPr>
            <w:tcW w:w="0" w:type="auto"/>
            <w:tcBorders>
              <w:top w:val="single" w:sz="4" w:space="0" w:color="auto"/>
              <w:left w:val="nil"/>
              <w:bottom w:val="nil"/>
              <w:right w:val="nil"/>
            </w:tcBorders>
            <w:shd w:val="clear" w:color="auto" w:fill="auto"/>
            <w:noWrap/>
            <w:hideMark/>
          </w:tcPr>
          <w:p w14:paraId="608C683D" w14:textId="77777777" w:rsidR="00C50188" w:rsidRPr="00C50188" w:rsidRDefault="00C50188" w:rsidP="00C50188">
            <w:pPr>
              <w:jc w:val="center"/>
            </w:pPr>
            <w:r w:rsidRPr="00C50188">
              <w:t>23%</w:t>
            </w:r>
          </w:p>
        </w:tc>
        <w:tc>
          <w:tcPr>
            <w:tcW w:w="0" w:type="auto"/>
            <w:tcBorders>
              <w:top w:val="single" w:sz="4" w:space="0" w:color="auto"/>
              <w:left w:val="nil"/>
              <w:bottom w:val="nil"/>
              <w:right w:val="single" w:sz="4" w:space="0" w:color="auto"/>
            </w:tcBorders>
            <w:shd w:val="clear" w:color="auto" w:fill="auto"/>
            <w:noWrap/>
            <w:hideMark/>
          </w:tcPr>
          <w:p w14:paraId="0587D331" w14:textId="77777777" w:rsidR="00C50188" w:rsidRPr="00C50188" w:rsidRDefault="00C50188" w:rsidP="00C50188">
            <w:pPr>
              <w:jc w:val="center"/>
            </w:pPr>
            <w:r w:rsidRPr="00C50188">
              <w:t>14%</w:t>
            </w:r>
          </w:p>
        </w:tc>
      </w:tr>
      <w:tr w:rsidR="00C50188" w:rsidRPr="00C50188" w14:paraId="0465C964" w14:textId="77777777" w:rsidTr="00BF4603">
        <w:trPr>
          <w:trHeight w:val="288"/>
          <w:jc w:val="center"/>
        </w:trPr>
        <w:tc>
          <w:tcPr>
            <w:tcW w:w="0" w:type="auto"/>
            <w:tcBorders>
              <w:top w:val="nil"/>
              <w:left w:val="single" w:sz="4" w:space="0" w:color="auto"/>
              <w:bottom w:val="nil"/>
              <w:right w:val="nil"/>
            </w:tcBorders>
            <w:shd w:val="clear" w:color="auto" w:fill="auto"/>
            <w:noWrap/>
            <w:hideMark/>
          </w:tcPr>
          <w:p w14:paraId="772DB6CC" w14:textId="77777777" w:rsidR="00C50188" w:rsidRPr="00C50188" w:rsidRDefault="00C50188" w:rsidP="00C50188">
            <w:pPr>
              <w:jc w:val="both"/>
            </w:pPr>
            <w:r w:rsidRPr="00C50188">
              <w:t>T2</w:t>
            </w:r>
          </w:p>
        </w:tc>
        <w:tc>
          <w:tcPr>
            <w:tcW w:w="0" w:type="auto"/>
            <w:tcBorders>
              <w:top w:val="nil"/>
              <w:left w:val="nil"/>
              <w:bottom w:val="nil"/>
              <w:right w:val="nil"/>
            </w:tcBorders>
            <w:shd w:val="clear" w:color="auto" w:fill="auto"/>
            <w:noWrap/>
            <w:hideMark/>
          </w:tcPr>
          <w:p w14:paraId="2FCAA84C" w14:textId="77777777" w:rsidR="00C50188" w:rsidRPr="00C50188" w:rsidRDefault="00C50188" w:rsidP="00C50188">
            <w:pPr>
              <w:jc w:val="center"/>
            </w:pPr>
            <w:r w:rsidRPr="00C50188">
              <w:t>7%</w:t>
            </w:r>
          </w:p>
        </w:tc>
        <w:tc>
          <w:tcPr>
            <w:tcW w:w="0" w:type="auto"/>
            <w:tcBorders>
              <w:top w:val="nil"/>
              <w:left w:val="nil"/>
              <w:bottom w:val="nil"/>
              <w:right w:val="single" w:sz="4" w:space="0" w:color="auto"/>
            </w:tcBorders>
            <w:shd w:val="clear" w:color="auto" w:fill="auto"/>
            <w:noWrap/>
            <w:hideMark/>
          </w:tcPr>
          <w:p w14:paraId="0CA72C93" w14:textId="77777777" w:rsidR="00C50188" w:rsidRPr="00C50188" w:rsidRDefault="00C50188" w:rsidP="00C50188">
            <w:pPr>
              <w:jc w:val="center"/>
            </w:pPr>
            <w:r w:rsidRPr="00C50188">
              <w:t>8%</w:t>
            </w:r>
          </w:p>
        </w:tc>
      </w:tr>
      <w:tr w:rsidR="00C50188" w:rsidRPr="00C50188" w14:paraId="6DC2EF87" w14:textId="77777777" w:rsidTr="00BF4603">
        <w:trPr>
          <w:trHeight w:val="288"/>
          <w:jc w:val="center"/>
        </w:trPr>
        <w:tc>
          <w:tcPr>
            <w:tcW w:w="0" w:type="auto"/>
            <w:tcBorders>
              <w:top w:val="nil"/>
              <w:left w:val="single" w:sz="4" w:space="0" w:color="auto"/>
              <w:bottom w:val="nil"/>
              <w:right w:val="nil"/>
            </w:tcBorders>
            <w:shd w:val="clear" w:color="auto" w:fill="auto"/>
            <w:noWrap/>
            <w:hideMark/>
          </w:tcPr>
          <w:p w14:paraId="4FEBA777" w14:textId="77777777" w:rsidR="00C50188" w:rsidRPr="00C50188" w:rsidRDefault="00C50188" w:rsidP="00C50188">
            <w:pPr>
              <w:jc w:val="both"/>
            </w:pPr>
            <w:r w:rsidRPr="00C50188">
              <w:t>T3</w:t>
            </w:r>
          </w:p>
        </w:tc>
        <w:tc>
          <w:tcPr>
            <w:tcW w:w="0" w:type="auto"/>
            <w:tcBorders>
              <w:top w:val="nil"/>
              <w:left w:val="nil"/>
              <w:bottom w:val="nil"/>
              <w:right w:val="nil"/>
            </w:tcBorders>
            <w:shd w:val="clear" w:color="auto" w:fill="auto"/>
            <w:noWrap/>
            <w:hideMark/>
          </w:tcPr>
          <w:p w14:paraId="1E846B88" w14:textId="77777777" w:rsidR="00C50188" w:rsidRPr="00C50188" w:rsidRDefault="00C50188" w:rsidP="00C50188">
            <w:pPr>
              <w:jc w:val="center"/>
            </w:pPr>
            <w:r w:rsidRPr="00C50188">
              <w:t>11%</w:t>
            </w:r>
          </w:p>
        </w:tc>
        <w:tc>
          <w:tcPr>
            <w:tcW w:w="0" w:type="auto"/>
            <w:tcBorders>
              <w:top w:val="nil"/>
              <w:left w:val="nil"/>
              <w:bottom w:val="nil"/>
              <w:right w:val="single" w:sz="4" w:space="0" w:color="auto"/>
            </w:tcBorders>
            <w:shd w:val="clear" w:color="auto" w:fill="auto"/>
            <w:noWrap/>
            <w:hideMark/>
          </w:tcPr>
          <w:p w14:paraId="591DF814" w14:textId="77777777" w:rsidR="00C50188" w:rsidRPr="00C50188" w:rsidRDefault="00C50188" w:rsidP="00C50188">
            <w:pPr>
              <w:jc w:val="center"/>
            </w:pPr>
            <w:r w:rsidRPr="00C50188">
              <w:t>9%</w:t>
            </w:r>
          </w:p>
        </w:tc>
      </w:tr>
      <w:tr w:rsidR="00C50188" w:rsidRPr="00C50188" w14:paraId="4771C1E2" w14:textId="77777777" w:rsidTr="00BF4603">
        <w:trPr>
          <w:trHeight w:val="288"/>
          <w:jc w:val="center"/>
        </w:trPr>
        <w:tc>
          <w:tcPr>
            <w:tcW w:w="0" w:type="auto"/>
            <w:tcBorders>
              <w:top w:val="nil"/>
              <w:left w:val="single" w:sz="4" w:space="0" w:color="auto"/>
              <w:bottom w:val="single" w:sz="4" w:space="0" w:color="auto"/>
              <w:right w:val="nil"/>
            </w:tcBorders>
            <w:shd w:val="clear" w:color="auto" w:fill="auto"/>
            <w:noWrap/>
            <w:hideMark/>
          </w:tcPr>
          <w:p w14:paraId="6A6C0D32" w14:textId="77777777" w:rsidR="00C50188" w:rsidRPr="00C50188" w:rsidRDefault="00C50188" w:rsidP="00C50188">
            <w:pPr>
              <w:jc w:val="both"/>
            </w:pPr>
            <w:r w:rsidRPr="00C50188">
              <w:t>T4</w:t>
            </w:r>
          </w:p>
        </w:tc>
        <w:tc>
          <w:tcPr>
            <w:tcW w:w="0" w:type="auto"/>
            <w:tcBorders>
              <w:top w:val="nil"/>
              <w:left w:val="nil"/>
              <w:bottom w:val="single" w:sz="4" w:space="0" w:color="auto"/>
              <w:right w:val="nil"/>
            </w:tcBorders>
            <w:shd w:val="clear" w:color="auto" w:fill="auto"/>
            <w:noWrap/>
            <w:hideMark/>
          </w:tcPr>
          <w:p w14:paraId="4E431A72" w14:textId="77777777" w:rsidR="00C50188" w:rsidRPr="00C50188" w:rsidRDefault="00C50188" w:rsidP="00C50188">
            <w:pPr>
              <w:jc w:val="center"/>
            </w:pPr>
            <w:r w:rsidRPr="00C50188">
              <w:t>10%</w:t>
            </w:r>
          </w:p>
        </w:tc>
        <w:tc>
          <w:tcPr>
            <w:tcW w:w="0" w:type="auto"/>
            <w:tcBorders>
              <w:top w:val="nil"/>
              <w:left w:val="nil"/>
              <w:bottom w:val="single" w:sz="4" w:space="0" w:color="auto"/>
              <w:right w:val="single" w:sz="4" w:space="0" w:color="auto"/>
            </w:tcBorders>
            <w:shd w:val="clear" w:color="auto" w:fill="auto"/>
            <w:noWrap/>
            <w:hideMark/>
          </w:tcPr>
          <w:p w14:paraId="7F5A54BD" w14:textId="77777777" w:rsidR="00C50188" w:rsidRPr="00C50188" w:rsidRDefault="00C50188" w:rsidP="00C50188">
            <w:pPr>
              <w:jc w:val="center"/>
            </w:pPr>
            <w:r w:rsidRPr="00C50188">
              <w:t>48%</w:t>
            </w:r>
          </w:p>
        </w:tc>
      </w:tr>
    </w:tbl>
    <w:p w14:paraId="7227D23E" w14:textId="77777777" w:rsidR="00C50188" w:rsidRPr="00C50188" w:rsidRDefault="00C50188" w:rsidP="00C50188">
      <w:pPr>
        <w:jc w:val="center"/>
      </w:pPr>
      <w:r w:rsidRPr="00C50188">
        <w:t>Fuente: Elaboración Propia, 2021</w:t>
      </w:r>
    </w:p>
    <w:p w14:paraId="073E24D4" w14:textId="55FC24D2" w:rsidR="00C50188" w:rsidRDefault="00C50188" w:rsidP="005B21A8">
      <w:pPr>
        <w:spacing w:line="360" w:lineRule="auto"/>
        <w:ind w:firstLine="708"/>
        <w:jc w:val="both"/>
        <w:rPr>
          <w:lang w:val="es-MX"/>
        </w:rPr>
      </w:pPr>
      <w:r w:rsidRPr="005B21A8">
        <w:rPr>
          <w:lang w:val="es-MX"/>
        </w:rPr>
        <w:t xml:space="preserve">Para el análisis de la varianza, la prueba de Duncan y el análisis de correlación, los datos registrados permitieron determinar diferencias entre los tratamientos por número de plántulas que brotaron, cantidad de hojas en las plántulas, altura de las plántulas y longitud de las hojas de las plántulas para deducir si los tratamientos tuvieron algún efecto en la caracterización de los brotes. Se aplicó la prueba de Duncan al 5 % para la comparación de medias de los tratamientos (Rodríguez </w:t>
      </w:r>
      <w:r w:rsidRPr="005B21A8">
        <w:rPr>
          <w:i/>
          <w:iCs/>
          <w:lang w:val="es-MX"/>
        </w:rPr>
        <w:t>et al</w:t>
      </w:r>
      <w:r w:rsidRPr="005B21A8">
        <w:rPr>
          <w:lang w:val="es-MX"/>
        </w:rPr>
        <w:t>., 2020), donde se identificaron 7 clústeres, para el número de aparición de brotes se encuentra el tratamiento T2 (76 % jal, 2.05 gr*cm</w:t>
      </w:r>
      <w:r w:rsidRPr="005B21A8">
        <w:rPr>
          <w:vertAlign w:val="superscript"/>
          <w:lang w:val="es-MX"/>
        </w:rPr>
        <w:t>-3</w:t>
      </w:r>
      <w:r w:rsidRPr="005B21A8">
        <w:rPr>
          <w:lang w:val="es-MX"/>
        </w:rPr>
        <w:t xml:space="preserve"> </w:t>
      </w:r>
      <w:r w:rsidRPr="00C50188">
        <w:sym w:font="Symbol" w:char="F072"/>
      </w:r>
      <w:r w:rsidRPr="005B21A8">
        <w:rPr>
          <w:lang w:val="es-MX"/>
        </w:rPr>
        <w:t>, 1.98 CE, 7.84 pH) y T3 (73 % jal, 1.96 gr*cm</w:t>
      </w:r>
      <w:r w:rsidR="00C45843" w:rsidRPr="005B21A8">
        <w:rPr>
          <w:vertAlign w:val="superscript"/>
          <w:lang w:val="es-MX"/>
        </w:rPr>
        <w:t>-3</w:t>
      </w:r>
      <w:r w:rsidRPr="005B21A8">
        <w:rPr>
          <w:lang w:val="es-MX"/>
        </w:rPr>
        <w:t xml:space="preserve"> </w:t>
      </w:r>
      <w:r w:rsidRPr="00C50188">
        <w:sym w:font="Symbol" w:char="F072"/>
      </w:r>
      <w:r w:rsidRPr="005B21A8">
        <w:rPr>
          <w:lang w:val="es-MX"/>
        </w:rPr>
        <w:t>, 2.27 CE, 7.76 pH), para la cantidad de hojas en los brotes se encuentra el T1 (83 % jal, 2.23 gr*cm</w:t>
      </w:r>
      <w:r w:rsidR="00C45843" w:rsidRPr="005B21A8">
        <w:rPr>
          <w:vertAlign w:val="superscript"/>
          <w:lang w:val="es-MX"/>
        </w:rPr>
        <w:t>-3</w:t>
      </w:r>
      <w:r w:rsidRPr="005B21A8">
        <w:rPr>
          <w:lang w:val="es-MX"/>
        </w:rPr>
        <w:t xml:space="preserve"> </w:t>
      </w:r>
      <w:r w:rsidRPr="00C50188">
        <w:sym w:font="Symbol" w:char="F072"/>
      </w:r>
      <w:r w:rsidRPr="005B21A8">
        <w:rPr>
          <w:lang w:val="es-MX"/>
        </w:rPr>
        <w:t>, 2.09 CE, 7.79 pH) y T2 (76 % jal, 2.05 gr*cm</w:t>
      </w:r>
      <w:r w:rsidR="00C45843" w:rsidRPr="005B21A8">
        <w:rPr>
          <w:vertAlign w:val="superscript"/>
          <w:lang w:val="es-MX"/>
        </w:rPr>
        <w:t>-3</w:t>
      </w:r>
      <w:r w:rsidRPr="005B21A8">
        <w:rPr>
          <w:lang w:val="es-MX"/>
        </w:rPr>
        <w:t xml:space="preserve"> </w:t>
      </w:r>
      <w:r w:rsidRPr="00C50188">
        <w:sym w:font="Symbol" w:char="F072"/>
      </w:r>
      <w:r w:rsidRPr="005B21A8">
        <w:rPr>
          <w:lang w:val="es-MX"/>
        </w:rPr>
        <w:t>, 1.98 CE, 7.84 pH), para la altura de los brotes se encuentra el T1 (83 % jal, 2.23 gr*cm</w:t>
      </w:r>
      <w:r w:rsidR="00C45843" w:rsidRPr="005B21A8">
        <w:rPr>
          <w:vertAlign w:val="superscript"/>
          <w:lang w:val="es-MX"/>
        </w:rPr>
        <w:t>-3</w:t>
      </w:r>
      <w:r w:rsidRPr="005B21A8">
        <w:rPr>
          <w:lang w:val="es-MX"/>
        </w:rPr>
        <w:t xml:space="preserve"> </w:t>
      </w:r>
      <w:r w:rsidRPr="00C50188">
        <w:sym w:font="Symbol" w:char="F072"/>
      </w:r>
      <w:r w:rsidRPr="005B21A8">
        <w:rPr>
          <w:lang w:val="es-MX"/>
        </w:rPr>
        <w:t>, 2.09 CE, 7.79 pH) y T2 (76 % jal, 2.05 gr*cm</w:t>
      </w:r>
      <w:r w:rsidR="00C45843" w:rsidRPr="005B21A8">
        <w:rPr>
          <w:vertAlign w:val="superscript"/>
          <w:lang w:val="es-MX"/>
        </w:rPr>
        <w:t>-3</w:t>
      </w:r>
      <w:r w:rsidRPr="005B21A8">
        <w:rPr>
          <w:lang w:val="es-MX"/>
        </w:rPr>
        <w:t xml:space="preserve"> </w:t>
      </w:r>
      <w:r w:rsidRPr="00C50188">
        <w:sym w:font="Symbol" w:char="F072"/>
      </w:r>
      <w:r w:rsidRPr="005B21A8">
        <w:rPr>
          <w:lang w:val="es-MX"/>
        </w:rPr>
        <w:t>, 1.98 CE, 7.84 pH), T2 (76 % jal, 2.05 gr*cm</w:t>
      </w:r>
      <w:r w:rsidR="00C45843" w:rsidRPr="005B21A8">
        <w:rPr>
          <w:vertAlign w:val="superscript"/>
          <w:lang w:val="es-MX"/>
        </w:rPr>
        <w:t>-3</w:t>
      </w:r>
      <w:r w:rsidRPr="005B21A8">
        <w:rPr>
          <w:lang w:val="es-MX"/>
        </w:rPr>
        <w:t xml:space="preserve"> </w:t>
      </w:r>
      <w:r w:rsidRPr="00C50188">
        <w:sym w:font="Symbol" w:char="F072"/>
      </w:r>
      <w:r w:rsidRPr="005B21A8">
        <w:rPr>
          <w:lang w:val="es-MX"/>
        </w:rPr>
        <w:t>, 1.98 CE, 7.84 pH) y T3 (73 % jal, 1.96 gr*cm</w:t>
      </w:r>
      <w:r w:rsidR="00C45843" w:rsidRPr="005B21A8">
        <w:rPr>
          <w:vertAlign w:val="superscript"/>
          <w:lang w:val="es-MX"/>
        </w:rPr>
        <w:t>-3</w:t>
      </w:r>
      <w:r w:rsidRPr="005B21A8">
        <w:rPr>
          <w:lang w:val="es-MX"/>
        </w:rPr>
        <w:t xml:space="preserve"> </w:t>
      </w:r>
      <w:r w:rsidRPr="00C50188">
        <w:sym w:font="Symbol" w:char="F072"/>
      </w:r>
      <w:r w:rsidRPr="005B21A8">
        <w:rPr>
          <w:lang w:val="es-MX"/>
        </w:rPr>
        <w:t xml:space="preserve">, 2.27 CE, </w:t>
      </w:r>
      <w:r w:rsidRPr="005B21A8">
        <w:rPr>
          <w:lang w:val="es-MX"/>
        </w:rPr>
        <w:lastRenderedPageBreak/>
        <w:t>7.76 pH), para la longitud de las hojas en los brotes se encuentra el T1 (83 % jal, 2.23 gr*cm</w:t>
      </w:r>
      <w:r w:rsidR="00C45843" w:rsidRPr="005B21A8">
        <w:rPr>
          <w:vertAlign w:val="superscript"/>
          <w:lang w:val="es-MX"/>
        </w:rPr>
        <w:t>-3</w:t>
      </w:r>
      <w:r w:rsidRPr="005B21A8">
        <w:rPr>
          <w:lang w:val="es-MX"/>
        </w:rPr>
        <w:t xml:space="preserve"> </w:t>
      </w:r>
      <w:r w:rsidRPr="00C50188">
        <w:sym w:font="Symbol" w:char="F072"/>
      </w:r>
      <w:r w:rsidRPr="005B21A8">
        <w:rPr>
          <w:lang w:val="es-MX"/>
        </w:rPr>
        <w:t>, 2.09 CE, 7.79 pH) and T2 (76 % jal, 2.05 gr*cm</w:t>
      </w:r>
      <w:r w:rsidR="00C45843" w:rsidRPr="005B21A8">
        <w:rPr>
          <w:vertAlign w:val="superscript"/>
          <w:lang w:val="es-MX"/>
        </w:rPr>
        <w:t>-3</w:t>
      </w:r>
      <w:r w:rsidRPr="005B21A8">
        <w:rPr>
          <w:lang w:val="es-MX"/>
        </w:rPr>
        <w:t xml:space="preserve"> </w:t>
      </w:r>
      <w:r w:rsidRPr="00C50188">
        <w:sym w:font="Symbol" w:char="F072"/>
      </w:r>
      <w:r w:rsidRPr="005B21A8">
        <w:rPr>
          <w:lang w:val="es-MX"/>
        </w:rPr>
        <w:t>, 1.98 CE, 7.84 pH), T1 (83 % jal, 2.23 gr*cm</w:t>
      </w:r>
      <w:r w:rsidR="00DB76B0" w:rsidRPr="005B21A8">
        <w:rPr>
          <w:vertAlign w:val="superscript"/>
          <w:lang w:val="es-MX"/>
        </w:rPr>
        <w:t>-3</w:t>
      </w:r>
      <w:r w:rsidRPr="005B21A8">
        <w:rPr>
          <w:lang w:val="es-MX"/>
        </w:rPr>
        <w:t xml:space="preserve"> </w:t>
      </w:r>
      <w:r w:rsidRPr="00C50188">
        <w:sym w:font="Symbol" w:char="F072"/>
      </w:r>
      <w:r w:rsidRPr="005B21A8">
        <w:rPr>
          <w:lang w:val="es-MX"/>
        </w:rPr>
        <w:t>, 2.09 CE, 7.79 pH) y T3 (73 % jal, 1.96 gr*cm</w:t>
      </w:r>
      <w:r w:rsidR="00DB76B0" w:rsidRPr="005B21A8">
        <w:rPr>
          <w:vertAlign w:val="superscript"/>
          <w:lang w:val="es-MX"/>
        </w:rPr>
        <w:t>-3</w:t>
      </w:r>
      <w:r w:rsidRPr="005B21A8">
        <w:rPr>
          <w:lang w:val="es-MX"/>
        </w:rPr>
        <w:t xml:space="preserve"> </w:t>
      </w:r>
      <w:r w:rsidRPr="00C50188">
        <w:sym w:font="Symbol" w:char="F072"/>
      </w:r>
      <w:r w:rsidRPr="005B21A8">
        <w:rPr>
          <w:lang w:val="es-MX"/>
        </w:rPr>
        <w:t>, 2.27 CE, 7.76 pH), T2 (76 % jal, 2.05 gr*cm</w:t>
      </w:r>
      <w:r w:rsidR="00DB76B0" w:rsidRPr="005B21A8">
        <w:rPr>
          <w:vertAlign w:val="superscript"/>
          <w:lang w:val="es-MX"/>
        </w:rPr>
        <w:t>-3</w:t>
      </w:r>
      <w:r w:rsidRPr="005B21A8">
        <w:rPr>
          <w:lang w:val="es-MX"/>
        </w:rPr>
        <w:t xml:space="preserve"> </w:t>
      </w:r>
      <w:r w:rsidRPr="00C50188">
        <w:sym w:font="Symbol" w:char="F072"/>
      </w:r>
      <w:r w:rsidRPr="005B21A8">
        <w:rPr>
          <w:lang w:val="es-MX"/>
        </w:rPr>
        <w:t>, 1.98 CE, 7.84 pH) y T3 (73 % jal, 1.96 gr*cm</w:t>
      </w:r>
      <w:r w:rsidR="00DB76B0" w:rsidRPr="005B21A8">
        <w:rPr>
          <w:vertAlign w:val="superscript"/>
          <w:lang w:val="es-MX"/>
        </w:rPr>
        <w:t>-3</w:t>
      </w:r>
      <w:r w:rsidRPr="005B21A8">
        <w:rPr>
          <w:lang w:val="es-MX"/>
        </w:rPr>
        <w:t xml:space="preserve"> </w:t>
      </w:r>
      <w:r w:rsidRPr="00C50188">
        <w:sym w:font="Symbol" w:char="F072"/>
      </w:r>
      <w:r w:rsidRPr="005B21A8">
        <w:rPr>
          <w:lang w:val="es-MX"/>
        </w:rPr>
        <w:t>, 2.27 CE, 7.76 pH) (Tabla 6).</w:t>
      </w:r>
    </w:p>
    <w:p w14:paraId="451D7484" w14:textId="77777777" w:rsidR="005B21A8" w:rsidRPr="005B21A8" w:rsidRDefault="005B21A8" w:rsidP="005B21A8">
      <w:pPr>
        <w:spacing w:line="360" w:lineRule="auto"/>
        <w:ind w:firstLine="708"/>
        <w:jc w:val="both"/>
        <w:rPr>
          <w:lang w:val="es-MX"/>
        </w:rPr>
      </w:pPr>
    </w:p>
    <w:p w14:paraId="7FEB95A6" w14:textId="77777777" w:rsidR="00C50188" w:rsidRPr="005B21A8" w:rsidRDefault="00C50188" w:rsidP="00DB76B0">
      <w:pPr>
        <w:jc w:val="center"/>
        <w:rPr>
          <w:lang w:val="es-MX"/>
        </w:rPr>
      </w:pPr>
      <w:r w:rsidRPr="005B21A8">
        <w:rPr>
          <w:b/>
          <w:bCs/>
          <w:lang w:val="es-MX"/>
        </w:rPr>
        <w:t>Tabla 6</w:t>
      </w:r>
      <w:r w:rsidRPr="005B21A8">
        <w:rPr>
          <w:lang w:val="es-MX"/>
        </w:rPr>
        <w:t>: Análisis de la Varianza y Prueba de Duncan</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687"/>
        <w:gridCol w:w="1687"/>
        <w:gridCol w:w="1687"/>
        <w:gridCol w:w="1689"/>
      </w:tblGrid>
      <w:tr w:rsidR="00C50188" w:rsidRPr="00C50188" w14:paraId="3FB6869D" w14:textId="77777777" w:rsidTr="00AF164C">
        <w:trPr>
          <w:trHeight w:val="288"/>
          <w:jc w:val="center"/>
        </w:trPr>
        <w:tc>
          <w:tcPr>
            <w:tcW w:w="1019" w:type="pct"/>
            <w:tcBorders>
              <w:bottom w:val="single" w:sz="4" w:space="0" w:color="auto"/>
              <w:right w:val="nil"/>
            </w:tcBorders>
            <w:shd w:val="clear" w:color="auto" w:fill="auto"/>
            <w:noWrap/>
            <w:hideMark/>
          </w:tcPr>
          <w:p w14:paraId="0BD90734" w14:textId="60B6B420" w:rsidR="00C50188" w:rsidRPr="00C50188" w:rsidRDefault="009777D0" w:rsidP="00EF0132">
            <w:r>
              <w:t>CAB</w:t>
            </w:r>
          </w:p>
        </w:tc>
        <w:tc>
          <w:tcPr>
            <w:tcW w:w="995" w:type="pct"/>
            <w:tcBorders>
              <w:top w:val="single" w:sz="4" w:space="0" w:color="auto"/>
              <w:left w:val="nil"/>
              <w:bottom w:val="single" w:sz="4" w:space="0" w:color="auto"/>
              <w:right w:val="nil"/>
            </w:tcBorders>
            <w:shd w:val="clear" w:color="auto" w:fill="auto"/>
            <w:noWrap/>
            <w:hideMark/>
          </w:tcPr>
          <w:p w14:paraId="1FF62026" w14:textId="77777777" w:rsidR="00C50188" w:rsidRPr="00C50188" w:rsidRDefault="00C50188" w:rsidP="00AF164C">
            <w:pPr>
              <w:jc w:val="center"/>
            </w:pPr>
            <w:r w:rsidRPr="00C50188">
              <w:t>GL</w:t>
            </w:r>
          </w:p>
        </w:tc>
        <w:tc>
          <w:tcPr>
            <w:tcW w:w="995" w:type="pct"/>
            <w:tcBorders>
              <w:top w:val="single" w:sz="4" w:space="0" w:color="auto"/>
              <w:left w:val="nil"/>
              <w:bottom w:val="single" w:sz="4" w:space="0" w:color="auto"/>
              <w:right w:val="nil"/>
            </w:tcBorders>
            <w:shd w:val="clear" w:color="auto" w:fill="auto"/>
            <w:noWrap/>
            <w:hideMark/>
          </w:tcPr>
          <w:p w14:paraId="403C0581" w14:textId="77777777" w:rsidR="00C50188" w:rsidRPr="00C50188" w:rsidRDefault="00C50188" w:rsidP="00AF164C">
            <w:pPr>
              <w:jc w:val="center"/>
            </w:pPr>
            <w:r w:rsidRPr="00C50188">
              <w:t>SC</w:t>
            </w:r>
          </w:p>
        </w:tc>
        <w:tc>
          <w:tcPr>
            <w:tcW w:w="995" w:type="pct"/>
            <w:tcBorders>
              <w:top w:val="single" w:sz="4" w:space="0" w:color="auto"/>
              <w:left w:val="nil"/>
              <w:bottom w:val="single" w:sz="4" w:space="0" w:color="auto"/>
              <w:right w:val="nil"/>
            </w:tcBorders>
            <w:shd w:val="clear" w:color="auto" w:fill="auto"/>
            <w:noWrap/>
            <w:hideMark/>
          </w:tcPr>
          <w:p w14:paraId="59AC0C70" w14:textId="77777777" w:rsidR="00C50188" w:rsidRPr="00C50188" w:rsidRDefault="00C50188" w:rsidP="00AF164C">
            <w:pPr>
              <w:jc w:val="center"/>
            </w:pPr>
            <w:r w:rsidRPr="00C50188">
              <w:t>CM</w:t>
            </w:r>
          </w:p>
        </w:tc>
        <w:tc>
          <w:tcPr>
            <w:tcW w:w="995" w:type="pct"/>
            <w:tcBorders>
              <w:top w:val="single" w:sz="4" w:space="0" w:color="auto"/>
              <w:left w:val="nil"/>
              <w:bottom w:val="single" w:sz="4" w:space="0" w:color="auto"/>
              <w:right w:val="single" w:sz="4" w:space="0" w:color="auto"/>
            </w:tcBorders>
            <w:shd w:val="clear" w:color="auto" w:fill="auto"/>
            <w:noWrap/>
            <w:hideMark/>
          </w:tcPr>
          <w:p w14:paraId="38661814" w14:textId="77777777" w:rsidR="00C50188" w:rsidRPr="00C50188" w:rsidRDefault="00C50188" w:rsidP="00AF164C">
            <w:pPr>
              <w:jc w:val="center"/>
            </w:pPr>
            <w:r w:rsidRPr="00C50188">
              <w:t>F</w:t>
            </w:r>
          </w:p>
        </w:tc>
      </w:tr>
      <w:tr w:rsidR="00C50188" w:rsidRPr="00C50188" w14:paraId="523B0E42" w14:textId="77777777" w:rsidTr="00AF164C">
        <w:trPr>
          <w:trHeight w:val="288"/>
          <w:jc w:val="center"/>
        </w:trPr>
        <w:tc>
          <w:tcPr>
            <w:tcW w:w="1019" w:type="pct"/>
            <w:tcBorders>
              <w:top w:val="single" w:sz="4" w:space="0" w:color="auto"/>
              <w:left w:val="single" w:sz="4" w:space="0" w:color="auto"/>
              <w:bottom w:val="nil"/>
              <w:right w:val="nil"/>
            </w:tcBorders>
            <w:shd w:val="clear" w:color="auto" w:fill="auto"/>
            <w:noWrap/>
            <w:hideMark/>
          </w:tcPr>
          <w:p w14:paraId="58571C96" w14:textId="77777777" w:rsidR="00C50188" w:rsidRPr="00C50188" w:rsidRDefault="00C50188" w:rsidP="00EF0132">
            <w:r w:rsidRPr="00C50188">
              <w:t>Tratamientos</w:t>
            </w:r>
          </w:p>
        </w:tc>
        <w:tc>
          <w:tcPr>
            <w:tcW w:w="995" w:type="pct"/>
            <w:tcBorders>
              <w:top w:val="single" w:sz="4" w:space="0" w:color="auto"/>
              <w:left w:val="nil"/>
              <w:bottom w:val="nil"/>
              <w:right w:val="nil"/>
            </w:tcBorders>
            <w:shd w:val="clear" w:color="auto" w:fill="auto"/>
            <w:noWrap/>
            <w:hideMark/>
          </w:tcPr>
          <w:p w14:paraId="20F08162" w14:textId="77777777" w:rsidR="00C50188" w:rsidRPr="00C50188" w:rsidRDefault="00C50188" w:rsidP="00AF164C">
            <w:pPr>
              <w:jc w:val="center"/>
            </w:pPr>
            <w:r w:rsidRPr="00C50188">
              <w:t>3</w:t>
            </w:r>
          </w:p>
        </w:tc>
        <w:tc>
          <w:tcPr>
            <w:tcW w:w="995" w:type="pct"/>
            <w:tcBorders>
              <w:top w:val="single" w:sz="4" w:space="0" w:color="auto"/>
              <w:left w:val="nil"/>
              <w:bottom w:val="nil"/>
              <w:right w:val="nil"/>
            </w:tcBorders>
            <w:shd w:val="clear" w:color="auto" w:fill="auto"/>
            <w:noWrap/>
            <w:hideMark/>
          </w:tcPr>
          <w:p w14:paraId="45A04CBD" w14:textId="77777777" w:rsidR="00C50188" w:rsidRPr="00C50188" w:rsidRDefault="00C50188" w:rsidP="00AF164C">
            <w:pPr>
              <w:jc w:val="center"/>
            </w:pPr>
            <w:r w:rsidRPr="00C50188">
              <w:t>440.52</w:t>
            </w:r>
          </w:p>
        </w:tc>
        <w:tc>
          <w:tcPr>
            <w:tcW w:w="995" w:type="pct"/>
            <w:tcBorders>
              <w:top w:val="single" w:sz="4" w:space="0" w:color="auto"/>
              <w:left w:val="nil"/>
              <w:bottom w:val="nil"/>
              <w:right w:val="nil"/>
            </w:tcBorders>
            <w:shd w:val="clear" w:color="auto" w:fill="auto"/>
            <w:noWrap/>
            <w:hideMark/>
          </w:tcPr>
          <w:p w14:paraId="31ACDB15" w14:textId="77777777" w:rsidR="00C50188" w:rsidRPr="00C50188" w:rsidRDefault="00C50188" w:rsidP="00AF164C">
            <w:pPr>
              <w:jc w:val="center"/>
            </w:pPr>
            <w:r w:rsidRPr="00C50188">
              <w:t>146.84</w:t>
            </w:r>
          </w:p>
        </w:tc>
        <w:tc>
          <w:tcPr>
            <w:tcW w:w="995" w:type="pct"/>
            <w:tcBorders>
              <w:top w:val="single" w:sz="4" w:space="0" w:color="auto"/>
              <w:left w:val="nil"/>
              <w:bottom w:val="nil"/>
              <w:right w:val="single" w:sz="4" w:space="0" w:color="auto"/>
            </w:tcBorders>
            <w:shd w:val="clear" w:color="auto" w:fill="auto"/>
            <w:noWrap/>
            <w:hideMark/>
          </w:tcPr>
          <w:p w14:paraId="4F5D8819" w14:textId="77777777" w:rsidR="00C50188" w:rsidRPr="00C50188" w:rsidRDefault="00C50188" w:rsidP="00AF164C">
            <w:pPr>
              <w:jc w:val="center"/>
            </w:pPr>
            <w:r w:rsidRPr="00C50188">
              <w:t>2.75*</w:t>
            </w:r>
          </w:p>
        </w:tc>
      </w:tr>
      <w:tr w:rsidR="00C50188" w:rsidRPr="00C50188" w14:paraId="1FEC4E92" w14:textId="77777777" w:rsidTr="00AF164C">
        <w:trPr>
          <w:trHeight w:val="288"/>
          <w:jc w:val="center"/>
        </w:trPr>
        <w:tc>
          <w:tcPr>
            <w:tcW w:w="1019" w:type="pct"/>
            <w:tcBorders>
              <w:top w:val="nil"/>
              <w:left w:val="single" w:sz="4" w:space="0" w:color="auto"/>
              <w:bottom w:val="nil"/>
              <w:right w:val="nil"/>
            </w:tcBorders>
            <w:shd w:val="clear" w:color="auto" w:fill="auto"/>
            <w:noWrap/>
            <w:hideMark/>
          </w:tcPr>
          <w:p w14:paraId="3E9ED863" w14:textId="77777777" w:rsidR="00C50188" w:rsidRPr="00C50188" w:rsidRDefault="00C50188" w:rsidP="00EF0132">
            <w:r w:rsidRPr="00C50188">
              <w:t>Error</w:t>
            </w:r>
          </w:p>
        </w:tc>
        <w:tc>
          <w:tcPr>
            <w:tcW w:w="995" w:type="pct"/>
            <w:tcBorders>
              <w:top w:val="nil"/>
              <w:left w:val="nil"/>
              <w:bottom w:val="nil"/>
              <w:right w:val="nil"/>
            </w:tcBorders>
            <w:shd w:val="clear" w:color="auto" w:fill="auto"/>
            <w:noWrap/>
            <w:hideMark/>
          </w:tcPr>
          <w:p w14:paraId="6EE022B5" w14:textId="77777777" w:rsidR="00C50188" w:rsidRPr="00C50188" w:rsidRDefault="00C50188" w:rsidP="00AF164C">
            <w:pPr>
              <w:jc w:val="center"/>
            </w:pPr>
            <w:r w:rsidRPr="00C50188">
              <w:t>43</w:t>
            </w:r>
          </w:p>
        </w:tc>
        <w:tc>
          <w:tcPr>
            <w:tcW w:w="995" w:type="pct"/>
            <w:tcBorders>
              <w:top w:val="nil"/>
              <w:left w:val="nil"/>
              <w:bottom w:val="nil"/>
              <w:right w:val="nil"/>
            </w:tcBorders>
            <w:shd w:val="clear" w:color="auto" w:fill="auto"/>
            <w:noWrap/>
            <w:hideMark/>
          </w:tcPr>
          <w:p w14:paraId="27A0644E" w14:textId="77777777" w:rsidR="00C50188" w:rsidRPr="00C50188" w:rsidRDefault="00C50188" w:rsidP="00AF164C">
            <w:pPr>
              <w:jc w:val="center"/>
            </w:pPr>
            <w:r w:rsidRPr="00C50188">
              <w:t>2298.80</w:t>
            </w:r>
          </w:p>
        </w:tc>
        <w:tc>
          <w:tcPr>
            <w:tcW w:w="995" w:type="pct"/>
            <w:tcBorders>
              <w:top w:val="nil"/>
              <w:left w:val="nil"/>
              <w:bottom w:val="nil"/>
              <w:right w:val="nil"/>
            </w:tcBorders>
            <w:shd w:val="clear" w:color="auto" w:fill="auto"/>
            <w:noWrap/>
            <w:hideMark/>
          </w:tcPr>
          <w:p w14:paraId="4F34C333" w14:textId="77777777" w:rsidR="00C50188" w:rsidRPr="00C50188" w:rsidRDefault="00C50188" w:rsidP="00AF164C">
            <w:pPr>
              <w:jc w:val="center"/>
            </w:pPr>
            <w:r w:rsidRPr="00C50188">
              <w:t>53.46</w:t>
            </w:r>
          </w:p>
        </w:tc>
        <w:tc>
          <w:tcPr>
            <w:tcW w:w="995" w:type="pct"/>
            <w:tcBorders>
              <w:top w:val="nil"/>
              <w:left w:val="nil"/>
              <w:bottom w:val="nil"/>
              <w:right w:val="single" w:sz="4" w:space="0" w:color="auto"/>
            </w:tcBorders>
            <w:shd w:val="clear" w:color="auto" w:fill="auto"/>
            <w:noWrap/>
            <w:hideMark/>
          </w:tcPr>
          <w:p w14:paraId="36316494" w14:textId="77777777" w:rsidR="00C50188" w:rsidRPr="00C50188" w:rsidRDefault="00C50188" w:rsidP="00AF164C">
            <w:pPr>
              <w:jc w:val="center"/>
            </w:pPr>
          </w:p>
        </w:tc>
      </w:tr>
      <w:tr w:rsidR="00C50188" w:rsidRPr="00C50188" w14:paraId="47C24F82" w14:textId="77777777" w:rsidTr="00AF164C">
        <w:trPr>
          <w:trHeight w:val="288"/>
          <w:jc w:val="center"/>
        </w:trPr>
        <w:tc>
          <w:tcPr>
            <w:tcW w:w="1019" w:type="pct"/>
            <w:tcBorders>
              <w:top w:val="nil"/>
              <w:left w:val="single" w:sz="4" w:space="0" w:color="auto"/>
              <w:bottom w:val="nil"/>
              <w:right w:val="nil"/>
            </w:tcBorders>
            <w:shd w:val="clear" w:color="auto" w:fill="auto"/>
            <w:noWrap/>
            <w:hideMark/>
          </w:tcPr>
          <w:p w14:paraId="478EF17C" w14:textId="77777777" w:rsidR="00C50188" w:rsidRPr="00C50188" w:rsidRDefault="00C50188" w:rsidP="00EF0132">
            <w:r w:rsidRPr="00C50188">
              <w:t>Total</w:t>
            </w:r>
          </w:p>
        </w:tc>
        <w:tc>
          <w:tcPr>
            <w:tcW w:w="995" w:type="pct"/>
            <w:tcBorders>
              <w:top w:val="nil"/>
              <w:left w:val="nil"/>
              <w:bottom w:val="nil"/>
              <w:right w:val="nil"/>
            </w:tcBorders>
            <w:shd w:val="clear" w:color="auto" w:fill="auto"/>
            <w:noWrap/>
            <w:hideMark/>
          </w:tcPr>
          <w:p w14:paraId="51D2EF99" w14:textId="77777777" w:rsidR="00C50188" w:rsidRPr="00C50188" w:rsidRDefault="00C50188" w:rsidP="00AF164C">
            <w:pPr>
              <w:jc w:val="center"/>
            </w:pPr>
            <w:r w:rsidRPr="00C50188">
              <w:t>46</w:t>
            </w:r>
          </w:p>
        </w:tc>
        <w:tc>
          <w:tcPr>
            <w:tcW w:w="995" w:type="pct"/>
            <w:tcBorders>
              <w:top w:val="nil"/>
              <w:left w:val="nil"/>
              <w:bottom w:val="nil"/>
              <w:right w:val="nil"/>
            </w:tcBorders>
            <w:shd w:val="clear" w:color="auto" w:fill="auto"/>
            <w:noWrap/>
            <w:hideMark/>
          </w:tcPr>
          <w:p w14:paraId="243E9A59" w14:textId="77777777" w:rsidR="00C50188" w:rsidRPr="00C50188" w:rsidRDefault="00C50188" w:rsidP="00AF164C">
            <w:pPr>
              <w:jc w:val="center"/>
            </w:pPr>
            <w:r w:rsidRPr="00C50188">
              <w:t>2739.32</w:t>
            </w:r>
          </w:p>
        </w:tc>
        <w:tc>
          <w:tcPr>
            <w:tcW w:w="995" w:type="pct"/>
            <w:tcBorders>
              <w:top w:val="nil"/>
              <w:left w:val="nil"/>
              <w:bottom w:val="nil"/>
              <w:right w:val="nil"/>
            </w:tcBorders>
            <w:shd w:val="clear" w:color="auto" w:fill="auto"/>
            <w:noWrap/>
            <w:hideMark/>
          </w:tcPr>
          <w:p w14:paraId="10B4130A" w14:textId="77777777" w:rsidR="00C50188" w:rsidRPr="00C50188" w:rsidRDefault="00C50188" w:rsidP="00AF164C">
            <w:pPr>
              <w:jc w:val="center"/>
            </w:pPr>
          </w:p>
        </w:tc>
        <w:tc>
          <w:tcPr>
            <w:tcW w:w="995" w:type="pct"/>
            <w:tcBorders>
              <w:top w:val="nil"/>
              <w:left w:val="nil"/>
              <w:bottom w:val="nil"/>
              <w:right w:val="single" w:sz="4" w:space="0" w:color="auto"/>
            </w:tcBorders>
            <w:shd w:val="clear" w:color="auto" w:fill="auto"/>
            <w:noWrap/>
            <w:hideMark/>
          </w:tcPr>
          <w:p w14:paraId="674B1DC7" w14:textId="77777777" w:rsidR="00C50188" w:rsidRPr="00C50188" w:rsidRDefault="00C50188" w:rsidP="00AF164C">
            <w:pPr>
              <w:jc w:val="center"/>
            </w:pPr>
          </w:p>
        </w:tc>
      </w:tr>
      <w:tr w:rsidR="00EF0132" w:rsidRPr="00C50188" w14:paraId="36E41C8D" w14:textId="77777777" w:rsidTr="00AF164C">
        <w:trPr>
          <w:trHeight w:val="288"/>
          <w:jc w:val="center"/>
        </w:trPr>
        <w:tc>
          <w:tcPr>
            <w:tcW w:w="5000" w:type="pct"/>
            <w:gridSpan w:val="5"/>
            <w:tcBorders>
              <w:top w:val="nil"/>
              <w:left w:val="single" w:sz="4" w:space="0" w:color="auto"/>
              <w:bottom w:val="nil"/>
              <w:right w:val="single" w:sz="4" w:space="0" w:color="auto"/>
            </w:tcBorders>
            <w:shd w:val="clear" w:color="auto" w:fill="auto"/>
            <w:noWrap/>
            <w:hideMark/>
          </w:tcPr>
          <w:p w14:paraId="5BAA7F57" w14:textId="05DF3137" w:rsidR="00EF0132" w:rsidRPr="00C50188" w:rsidRDefault="00EF0132" w:rsidP="00AF164C">
            <w:proofErr w:type="spellStart"/>
            <w:r w:rsidRPr="00C50188">
              <w:t>Tabla</w:t>
            </w:r>
            <w:proofErr w:type="spellEnd"/>
            <w:r w:rsidRPr="00C50188">
              <w:t xml:space="preserve"> de </w:t>
            </w:r>
            <w:proofErr w:type="spellStart"/>
            <w:r w:rsidRPr="00C50188">
              <w:t>contraste</w:t>
            </w:r>
            <w:proofErr w:type="spellEnd"/>
          </w:p>
        </w:tc>
      </w:tr>
      <w:tr w:rsidR="00C50188" w:rsidRPr="00C50188" w14:paraId="5377CDF0" w14:textId="77777777" w:rsidTr="00AF164C">
        <w:trPr>
          <w:trHeight w:val="288"/>
          <w:jc w:val="center"/>
        </w:trPr>
        <w:tc>
          <w:tcPr>
            <w:tcW w:w="1019" w:type="pct"/>
            <w:tcBorders>
              <w:top w:val="nil"/>
              <w:left w:val="single" w:sz="4" w:space="0" w:color="auto"/>
              <w:bottom w:val="single" w:sz="4" w:space="0" w:color="auto"/>
              <w:right w:val="nil"/>
            </w:tcBorders>
            <w:shd w:val="clear" w:color="auto" w:fill="auto"/>
            <w:noWrap/>
            <w:hideMark/>
          </w:tcPr>
          <w:p w14:paraId="68280EEF" w14:textId="77777777" w:rsidR="00C50188" w:rsidRPr="00C50188" w:rsidRDefault="00C50188" w:rsidP="00EF0132">
            <w:r w:rsidRPr="00C50188">
              <w:t>T2</w:t>
            </w:r>
          </w:p>
        </w:tc>
        <w:tc>
          <w:tcPr>
            <w:tcW w:w="995" w:type="pct"/>
            <w:tcBorders>
              <w:top w:val="nil"/>
              <w:left w:val="nil"/>
              <w:bottom w:val="single" w:sz="4" w:space="0" w:color="auto"/>
              <w:right w:val="nil"/>
            </w:tcBorders>
            <w:shd w:val="clear" w:color="auto" w:fill="auto"/>
            <w:noWrap/>
            <w:hideMark/>
          </w:tcPr>
          <w:p w14:paraId="63D1CC20" w14:textId="77777777" w:rsidR="00C50188" w:rsidRPr="00C50188" w:rsidRDefault="00C50188" w:rsidP="00AF164C">
            <w:pPr>
              <w:jc w:val="center"/>
            </w:pPr>
            <w:r w:rsidRPr="00C50188">
              <w:t>T3</w:t>
            </w:r>
          </w:p>
        </w:tc>
        <w:tc>
          <w:tcPr>
            <w:tcW w:w="995" w:type="pct"/>
            <w:tcBorders>
              <w:top w:val="nil"/>
              <w:left w:val="nil"/>
              <w:bottom w:val="single" w:sz="4" w:space="0" w:color="auto"/>
              <w:right w:val="nil"/>
            </w:tcBorders>
            <w:shd w:val="clear" w:color="auto" w:fill="auto"/>
            <w:noWrap/>
            <w:hideMark/>
          </w:tcPr>
          <w:p w14:paraId="0290D7A6" w14:textId="77777777" w:rsidR="00C50188" w:rsidRPr="00C50188" w:rsidRDefault="00C50188" w:rsidP="00AF164C">
            <w:pPr>
              <w:jc w:val="center"/>
            </w:pPr>
            <w:r w:rsidRPr="00C50188">
              <w:t>-6.94</w:t>
            </w:r>
          </w:p>
        </w:tc>
        <w:tc>
          <w:tcPr>
            <w:tcW w:w="995" w:type="pct"/>
            <w:tcBorders>
              <w:top w:val="nil"/>
              <w:left w:val="nil"/>
              <w:bottom w:val="single" w:sz="4" w:space="0" w:color="auto"/>
              <w:right w:val="nil"/>
            </w:tcBorders>
            <w:shd w:val="clear" w:color="auto" w:fill="auto"/>
            <w:noWrap/>
            <w:hideMark/>
          </w:tcPr>
          <w:p w14:paraId="09AD9DA0" w14:textId="77777777" w:rsidR="00C50188" w:rsidRPr="00C50188" w:rsidRDefault="00C50188" w:rsidP="00AF164C">
            <w:pPr>
              <w:jc w:val="center"/>
            </w:pPr>
            <w:r w:rsidRPr="00C50188">
              <w:t>3.10</w:t>
            </w:r>
          </w:p>
        </w:tc>
        <w:tc>
          <w:tcPr>
            <w:tcW w:w="995" w:type="pct"/>
            <w:tcBorders>
              <w:top w:val="nil"/>
              <w:left w:val="nil"/>
              <w:bottom w:val="single" w:sz="4" w:space="0" w:color="auto"/>
              <w:right w:val="single" w:sz="4" w:space="0" w:color="auto"/>
            </w:tcBorders>
            <w:shd w:val="clear" w:color="auto" w:fill="auto"/>
            <w:noWrap/>
          </w:tcPr>
          <w:p w14:paraId="6484BDF2" w14:textId="6B0BA4D5" w:rsidR="00C50188" w:rsidRPr="00C50188" w:rsidRDefault="005F7B9C" w:rsidP="00AF164C">
            <w:pPr>
              <w:jc w:val="center"/>
            </w:pPr>
            <w:r>
              <w:t>≠</w:t>
            </w:r>
          </w:p>
        </w:tc>
      </w:tr>
      <w:tr w:rsidR="00C50188" w:rsidRPr="00C50188" w14:paraId="2F979670" w14:textId="77777777" w:rsidTr="00AF164C">
        <w:trPr>
          <w:trHeight w:val="288"/>
          <w:jc w:val="center"/>
        </w:trPr>
        <w:tc>
          <w:tcPr>
            <w:tcW w:w="1019" w:type="pct"/>
            <w:tcBorders>
              <w:top w:val="single" w:sz="4" w:space="0" w:color="auto"/>
              <w:bottom w:val="single" w:sz="4" w:space="0" w:color="auto"/>
              <w:right w:val="nil"/>
            </w:tcBorders>
            <w:shd w:val="clear" w:color="auto" w:fill="auto"/>
            <w:noWrap/>
            <w:hideMark/>
          </w:tcPr>
          <w:p w14:paraId="30F5E4ED" w14:textId="2AFA6B1D" w:rsidR="00C50188" w:rsidRPr="00EF0132" w:rsidRDefault="009777D0" w:rsidP="00EF0132">
            <w:pPr>
              <w:rPr>
                <w:lang w:val="es-419"/>
              </w:rPr>
            </w:pPr>
            <w:r>
              <w:rPr>
                <w:lang w:val="es-419"/>
              </w:rPr>
              <w:t>CH</w:t>
            </w:r>
          </w:p>
        </w:tc>
        <w:tc>
          <w:tcPr>
            <w:tcW w:w="995" w:type="pct"/>
            <w:tcBorders>
              <w:top w:val="single" w:sz="4" w:space="0" w:color="auto"/>
              <w:left w:val="nil"/>
              <w:bottom w:val="single" w:sz="4" w:space="0" w:color="auto"/>
              <w:right w:val="nil"/>
            </w:tcBorders>
            <w:shd w:val="clear" w:color="auto" w:fill="auto"/>
            <w:noWrap/>
            <w:hideMark/>
          </w:tcPr>
          <w:p w14:paraId="645C1E9A" w14:textId="77777777" w:rsidR="00C50188" w:rsidRPr="00C50188" w:rsidRDefault="00C50188" w:rsidP="00AF164C">
            <w:pPr>
              <w:jc w:val="center"/>
            </w:pPr>
            <w:r w:rsidRPr="00C50188">
              <w:t>GL</w:t>
            </w:r>
          </w:p>
        </w:tc>
        <w:tc>
          <w:tcPr>
            <w:tcW w:w="995" w:type="pct"/>
            <w:tcBorders>
              <w:top w:val="single" w:sz="4" w:space="0" w:color="auto"/>
              <w:left w:val="nil"/>
              <w:bottom w:val="single" w:sz="4" w:space="0" w:color="auto"/>
              <w:right w:val="nil"/>
            </w:tcBorders>
            <w:shd w:val="clear" w:color="auto" w:fill="auto"/>
            <w:noWrap/>
            <w:hideMark/>
          </w:tcPr>
          <w:p w14:paraId="3D0EF73A" w14:textId="77777777" w:rsidR="00C50188" w:rsidRPr="00C50188" w:rsidRDefault="00C50188" w:rsidP="00AF164C">
            <w:pPr>
              <w:jc w:val="center"/>
            </w:pPr>
            <w:r w:rsidRPr="00C50188">
              <w:t>SC</w:t>
            </w:r>
          </w:p>
        </w:tc>
        <w:tc>
          <w:tcPr>
            <w:tcW w:w="995" w:type="pct"/>
            <w:tcBorders>
              <w:top w:val="single" w:sz="4" w:space="0" w:color="auto"/>
              <w:left w:val="nil"/>
              <w:bottom w:val="single" w:sz="4" w:space="0" w:color="auto"/>
              <w:right w:val="nil"/>
            </w:tcBorders>
            <w:shd w:val="clear" w:color="auto" w:fill="auto"/>
            <w:noWrap/>
            <w:hideMark/>
          </w:tcPr>
          <w:p w14:paraId="022F3A86" w14:textId="77777777" w:rsidR="00C50188" w:rsidRPr="00C50188" w:rsidRDefault="00C50188" w:rsidP="00AF164C">
            <w:pPr>
              <w:jc w:val="center"/>
            </w:pPr>
            <w:r w:rsidRPr="00C50188">
              <w:t>CM</w:t>
            </w:r>
          </w:p>
        </w:tc>
        <w:tc>
          <w:tcPr>
            <w:tcW w:w="995" w:type="pct"/>
            <w:tcBorders>
              <w:top w:val="single" w:sz="4" w:space="0" w:color="auto"/>
              <w:left w:val="nil"/>
              <w:bottom w:val="single" w:sz="4" w:space="0" w:color="auto"/>
              <w:right w:val="single" w:sz="4" w:space="0" w:color="auto"/>
            </w:tcBorders>
            <w:shd w:val="clear" w:color="auto" w:fill="auto"/>
            <w:noWrap/>
            <w:hideMark/>
          </w:tcPr>
          <w:p w14:paraId="68E4E0F9" w14:textId="77777777" w:rsidR="00C50188" w:rsidRPr="00C50188" w:rsidRDefault="00C50188" w:rsidP="00AF164C">
            <w:pPr>
              <w:jc w:val="center"/>
            </w:pPr>
            <w:r w:rsidRPr="00C50188">
              <w:t>F</w:t>
            </w:r>
          </w:p>
        </w:tc>
      </w:tr>
      <w:tr w:rsidR="00C50188" w:rsidRPr="00C50188" w14:paraId="113D1EF8" w14:textId="77777777" w:rsidTr="00AF164C">
        <w:trPr>
          <w:trHeight w:val="288"/>
          <w:jc w:val="center"/>
        </w:trPr>
        <w:tc>
          <w:tcPr>
            <w:tcW w:w="1019" w:type="pct"/>
            <w:tcBorders>
              <w:top w:val="single" w:sz="4" w:space="0" w:color="auto"/>
              <w:left w:val="single" w:sz="4" w:space="0" w:color="auto"/>
              <w:bottom w:val="nil"/>
              <w:right w:val="nil"/>
            </w:tcBorders>
            <w:shd w:val="clear" w:color="auto" w:fill="auto"/>
            <w:noWrap/>
            <w:hideMark/>
          </w:tcPr>
          <w:p w14:paraId="65731955" w14:textId="77777777" w:rsidR="00C50188" w:rsidRPr="00C50188" w:rsidRDefault="00C50188" w:rsidP="00EF0132">
            <w:r w:rsidRPr="00C50188">
              <w:t>Tratamientos</w:t>
            </w:r>
          </w:p>
        </w:tc>
        <w:tc>
          <w:tcPr>
            <w:tcW w:w="995" w:type="pct"/>
            <w:tcBorders>
              <w:top w:val="single" w:sz="4" w:space="0" w:color="auto"/>
              <w:left w:val="nil"/>
              <w:bottom w:val="nil"/>
              <w:right w:val="nil"/>
            </w:tcBorders>
            <w:shd w:val="clear" w:color="auto" w:fill="auto"/>
            <w:noWrap/>
            <w:hideMark/>
          </w:tcPr>
          <w:p w14:paraId="0B9FB922" w14:textId="77777777" w:rsidR="00C50188" w:rsidRPr="00C50188" w:rsidRDefault="00C50188" w:rsidP="00AF164C">
            <w:pPr>
              <w:jc w:val="center"/>
            </w:pPr>
            <w:r w:rsidRPr="00C50188">
              <w:t>3</w:t>
            </w:r>
          </w:p>
        </w:tc>
        <w:tc>
          <w:tcPr>
            <w:tcW w:w="995" w:type="pct"/>
            <w:tcBorders>
              <w:top w:val="single" w:sz="4" w:space="0" w:color="auto"/>
              <w:left w:val="nil"/>
              <w:bottom w:val="nil"/>
              <w:right w:val="nil"/>
            </w:tcBorders>
            <w:shd w:val="clear" w:color="auto" w:fill="auto"/>
            <w:noWrap/>
            <w:hideMark/>
          </w:tcPr>
          <w:p w14:paraId="098E0C5F" w14:textId="77777777" w:rsidR="00C50188" w:rsidRPr="00C50188" w:rsidRDefault="00C50188" w:rsidP="00AF164C">
            <w:pPr>
              <w:jc w:val="center"/>
            </w:pPr>
            <w:r w:rsidRPr="00C50188">
              <w:t>277.93</w:t>
            </w:r>
          </w:p>
        </w:tc>
        <w:tc>
          <w:tcPr>
            <w:tcW w:w="995" w:type="pct"/>
            <w:tcBorders>
              <w:top w:val="single" w:sz="4" w:space="0" w:color="auto"/>
              <w:left w:val="nil"/>
              <w:bottom w:val="nil"/>
              <w:right w:val="nil"/>
            </w:tcBorders>
            <w:shd w:val="clear" w:color="auto" w:fill="auto"/>
            <w:noWrap/>
            <w:hideMark/>
          </w:tcPr>
          <w:p w14:paraId="297D42C6" w14:textId="77777777" w:rsidR="00C50188" w:rsidRPr="00C50188" w:rsidRDefault="00C50188" w:rsidP="00AF164C">
            <w:pPr>
              <w:jc w:val="center"/>
            </w:pPr>
            <w:r w:rsidRPr="00C50188">
              <w:t>92.64</w:t>
            </w:r>
          </w:p>
        </w:tc>
        <w:tc>
          <w:tcPr>
            <w:tcW w:w="995" w:type="pct"/>
            <w:tcBorders>
              <w:top w:val="single" w:sz="4" w:space="0" w:color="auto"/>
              <w:left w:val="nil"/>
              <w:bottom w:val="nil"/>
              <w:right w:val="single" w:sz="4" w:space="0" w:color="auto"/>
            </w:tcBorders>
            <w:shd w:val="clear" w:color="auto" w:fill="auto"/>
            <w:noWrap/>
            <w:hideMark/>
          </w:tcPr>
          <w:p w14:paraId="45776A7D" w14:textId="77777777" w:rsidR="00C50188" w:rsidRPr="00C50188" w:rsidRDefault="00C50188" w:rsidP="00AF164C">
            <w:pPr>
              <w:jc w:val="center"/>
            </w:pPr>
            <w:r w:rsidRPr="00C50188">
              <w:t>7.52*</w:t>
            </w:r>
          </w:p>
        </w:tc>
      </w:tr>
      <w:tr w:rsidR="00C50188" w:rsidRPr="00C50188" w14:paraId="058E0773" w14:textId="77777777" w:rsidTr="00AF164C">
        <w:trPr>
          <w:trHeight w:val="288"/>
          <w:jc w:val="center"/>
        </w:trPr>
        <w:tc>
          <w:tcPr>
            <w:tcW w:w="1019" w:type="pct"/>
            <w:tcBorders>
              <w:top w:val="nil"/>
              <w:left w:val="single" w:sz="4" w:space="0" w:color="auto"/>
              <w:bottom w:val="nil"/>
              <w:right w:val="nil"/>
            </w:tcBorders>
            <w:shd w:val="clear" w:color="auto" w:fill="auto"/>
            <w:noWrap/>
            <w:hideMark/>
          </w:tcPr>
          <w:p w14:paraId="70D9D699" w14:textId="77777777" w:rsidR="00C50188" w:rsidRPr="00C50188" w:rsidRDefault="00C50188" w:rsidP="00EF0132">
            <w:r w:rsidRPr="00C50188">
              <w:t>Error</w:t>
            </w:r>
          </w:p>
        </w:tc>
        <w:tc>
          <w:tcPr>
            <w:tcW w:w="995" w:type="pct"/>
            <w:tcBorders>
              <w:top w:val="nil"/>
              <w:left w:val="nil"/>
              <w:bottom w:val="nil"/>
              <w:right w:val="nil"/>
            </w:tcBorders>
            <w:shd w:val="clear" w:color="auto" w:fill="auto"/>
            <w:noWrap/>
            <w:hideMark/>
          </w:tcPr>
          <w:p w14:paraId="700AA8DC" w14:textId="77777777" w:rsidR="00C50188" w:rsidRPr="00C50188" w:rsidRDefault="00C50188" w:rsidP="00AF164C">
            <w:pPr>
              <w:jc w:val="center"/>
            </w:pPr>
            <w:r w:rsidRPr="00C50188">
              <w:t>43</w:t>
            </w:r>
          </w:p>
        </w:tc>
        <w:tc>
          <w:tcPr>
            <w:tcW w:w="995" w:type="pct"/>
            <w:tcBorders>
              <w:top w:val="nil"/>
              <w:left w:val="nil"/>
              <w:bottom w:val="nil"/>
              <w:right w:val="nil"/>
            </w:tcBorders>
            <w:shd w:val="clear" w:color="auto" w:fill="auto"/>
            <w:noWrap/>
            <w:hideMark/>
          </w:tcPr>
          <w:p w14:paraId="63FCF4BC" w14:textId="77777777" w:rsidR="00C50188" w:rsidRPr="00C50188" w:rsidRDefault="00C50188" w:rsidP="00AF164C">
            <w:pPr>
              <w:jc w:val="center"/>
            </w:pPr>
            <w:r w:rsidRPr="00C50188">
              <w:t>529.73</w:t>
            </w:r>
          </w:p>
        </w:tc>
        <w:tc>
          <w:tcPr>
            <w:tcW w:w="995" w:type="pct"/>
            <w:tcBorders>
              <w:top w:val="nil"/>
              <w:left w:val="nil"/>
              <w:bottom w:val="nil"/>
              <w:right w:val="nil"/>
            </w:tcBorders>
            <w:shd w:val="clear" w:color="auto" w:fill="auto"/>
            <w:noWrap/>
            <w:hideMark/>
          </w:tcPr>
          <w:p w14:paraId="7A45B107" w14:textId="77777777" w:rsidR="00C50188" w:rsidRPr="00C50188" w:rsidRDefault="00C50188" w:rsidP="00AF164C">
            <w:pPr>
              <w:jc w:val="center"/>
            </w:pPr>
            <w:r w:rsidRPr="00C50188">
              <w:t>12.32</w:t>
            </w:r>
          </w:p>
        </w:tc>
        <w:tc>
          <w:tcPr>
            <w:tcW w:w="995" w:type="pct"/>
            <w:tcBorders>
              <w:top w:val="nil"/>
              <w:left w:val="nil"/>
              <w:bottom w:val="nil"/>
              <w:right w:val="single" w:sz="4" w:space="0" w:color="auto"/>
            </w:tcBorders>
            <w:shd w:val="clear" w:color="auto" w:fill="auto"/>
            <w:noWrap/>
            <w:hideMark/>
          </w:tcPr>
          <w:p w14:paraId="5EA5467D" w14:textId="77777777" w:rsidR="00C50188" w:rsidRPr="00C50188" w:rsidRDefault="00C50188" w:rsidP="00AF164C">
            <w:pPr>
              <w:jc w:val="center"/>
            </w:pPr>
          </w:p>
        </w:tc>
      </w:tr>
      <w:tr w:rsidR="00C50188" w:rsidRPr="00C50188" w14:paraId="361F6225" w14:textId="77777777" w:rsidTr="00AF164C">
        <w:trPr>
          <w:trHeight w:val="288"/>
          <w:jc w:val="center"/>
        </w:trPr>
        <w:tc>
          <w:tcPr>
            <w:tcW w:w="1019" w:type="pct"/>
            <w:tcBorders>
              <w:top w:val="nil"/>
              <w:left w:val="single" w:sz="4" w:space="0" w:color="auto"/>
              <w:bottom w:val="nil"/>
              <w:right w:val="nil"/>
            </w:tcBorders>
            <w:shd w:val="clear" w:color="auto" w:fill="auto"/>
            <w:noWrap/>
            <w:hideMark/>
          </w:tcPr>
          <w:p w14:paraId="34C078AE" w14:textId="77777777" w:rsidR="00C50188" w:rsidRPr="00C50188" w:rsidRDefault="00C50188" w:rsidP="00EF0132">
            <w:r w:rsidRPr="00C50188">
              <w:t>Total</w:t>
            </w:r>
          </w:p>
        </w:tc>
        <w:tc>
          <w:tcPr>
            <w:tcW w:w="995" w:type="pct"/>
            <w:tcBorders>
              <w:top w:val="nil"/>
              <w:left w:val="nil"/>
              <w:bottom w:val="nil"/>
              <w:right w:val="nil"/>
            </w:tcBorders>
            <w:shd w:val="clear" w:color="auto" w:fill="auto"/>
            <w:noWrap/>
            <w:hideMark/>
          </w:tcPr>
          <w:p w14:paraId="56E28400" w14:textId="77777777" w:rsidR="00C50188" w:rsidRPr="00C50188" w:rsidRDefault="00C50188" w:rsidP="00AF164C">
            <w:pPr>
              <w:jc w:val="center"/>
            </w:pPr>
            <w:r w:rsidRPr="00C50188">
              <w:t>46</w:t>
            </w:r>
          </w:p>
        </w:tc>
        <w:tc>
          <w:tcPr>
            <w:tcW w:w="995" w:type="pct"/>
            <w:tcBorders>
              <w:top w:val="nil"/>
              <w:left w:val="nil"/>
              <w:bottom w:val="nil"/>
              <w:right w:val="nil"/>
            </w:tcBorders>
            <w:shd w:val="clear" w:color="auto" w:fill="auto"/>
            <w:noWrap/>
            <w:hideMark/>
          </w:tcPr>
          <w:p w14:paraId="4AEED734" w14:textId="77777777" w:rsidR="00C50188" w:rsidRPr="00C50188" w:rsidRDefault="00C50188" w:rsidP="00AF164C">
            <w:pPr>
              <w:jc w:val="center"/>
            </w:pPr>
            <w:r w:rsidRPr="00C50188">
              <w:t>807.66</w:t>
            </w:r>
          </w:p>
        </w:tc>
        <w:tc>
          <w:tcPr>
            <w:tcW w:w="995" w:type="pct"/>
            <w:tcBorders>
              <w:top w:val="nil"/>
              <w:left w:val="nil"/>
              <w:bottom w:val="nil"/>
              <w:right w:val="nil"/>
            </w:tcBorders>
            <w:shd w:val="clear" w:color="auto" w:fill="auto"/>
            <w:noWrap/>
            <w:hideMark/>
          </w:tcPr>
          <w:p w14:paraId="47C2D29D" w14:textId="77777777" w:rsidR="00C50188" w:rsidRPr="00C50188" w:rsidRDefault="00C50188" w:rsidP="00AF164C">
            <w:pPr>
              <w:jc w:val="center"/>
            </w:pPr>
          </w:p>
        </w:tc>
        <w:tc>
          <w:tcPr>
            <w:tcW w:w="995" w:type="pct"/>
            <w:tcBorders>
              <w:top w:val="nil"/>
              <w:left w:val="nil"/>
              <w:bottom w:val="nil"/>
              <w:right w:val="single" w:sz="4" w:space="0" w:color="auto"/>
            </w:tcBorders>
            <w:shd w:val="clear" w:color="auto" w:fill="auto"/>
            <w:noWrap/>
            <w:hideMark/>
          </w:tcPr>
          <w:p w14:paraId="18169A05" w14:textId="77777777" w:rsidR="00C50188" w:rsidRPr="00C50188" w:rsidRDefault="00C50188" w:rsidP="00AF164C">
            <w:pPr>
              <w:jc w:val="center"/>
            </w:pPr>
          </w:p>
        </w:tc>
      </w:tr>
      <w:tr w:rsidR="00EF0132" w:rsidRPr="00C50188" w14:paraId="784C1F20" w14:textId="77777777" w:rsidTr="00AF164C">
        <w:trPr>
          <w:trHeight w:val="288"/>
          <w:jc w:val="center"/>
        </w:trPr>
        <w:tc>
          <w:tcPr>
            <w:tcW w:w="5000" w:type="pct"/>
            <w:gridSpan w:val="5"/>
            <w:tcBorders>
              <w:top w:val="nil"/>
              <w:left w:val="single" w:sz="4" w:space="0" w:color="auto"/>
              <w:bottom w:val="nil"/>
              <w:right w:val="single" w:sz="4" w:space="0" w:color="auto"/>
            </w:tcBorders>
            <w:shd w:val="clear" w:color="auto" w:fill="auto"/>
            <w:noWrap/>
            <w:hideMark/>
          </w:tcPr>
          <w:p w14:paraId="3236B861" w14:textId="4751B787" w:rsidR="00EF0132" w:rsidRPr="00C50188" w:rsidRDefault="00EF0132" w:rsidP="00AF164C">
            <w:proofErr w:type="spellStart"/>
            <w:r w:rsidRPr="00C50188">
              <w:t>Tabla</w:t>
            </w:r>
            <w:proofErr w:type="spellEnd"/>
            <w:r w:rsidRPr="00C50188">
              <w:t xml:space="preserve"> de </w:t>
            </w:r>
            <w:proofErr w:type="spellStart"/>
            <w:r w:rsidRPr="00C50188">
              <w:t>contraste</w:t>
            </w:r>
            <w:proofErr w:type="spellEnd"/>
          </w:p>
        </w:tc>
      </w:tr>
      <w:tr w:rsidR="00C50188" w:rsidRPr="00C50188" w14:paraId="2E0DEAF5" w14:textId="77777777" w:rsidTr="00AF164C">
        <w:trPr>
          <w:trHeight w:val="288"/>
          <w:jc w:val="center"/>
        </w:trPr>
        <w:tc>
          <w:tcPr>
            <w:tcW w:w="1019" w:type="pct"/>
            <w:tcBorders>
              <w:top w:val="nil"/>
              <w:left w:val="single" w:sz="4" w:space="0" w:color="auto"/>
              <w:bottom w:val="single" w:sz="4" w:space="0" w:color="auto"/>
              <w:right w:val="nil"/>
            </w:tcBorders>
            <w:shd w:val="clear" w:color="auto" w:fill="auto"/>
            <w:noWrap/>
            <w:hideMark/>
          </w:tcPr>
          <w:p w14:paraId="1B53102E" w14:textId="77777777" w:rsidR="00C50188" w:rsidRPr="00C50188" w:rsidRDefault="00C50188" w:rsidP="00EF0132">
            <w:r w:rsidRPr="00C50188">
              <w:t>T1</w:t>
            </w:r>
          </w:p>
        </w:tc>
        <w:tc>
          <w:tcPr>
            <w:tcW w:w="995" w:type="pct"/>
            <w:tcBorders>
              <w:top w:val="nil"/>
              <w:left w:val="nil"/>
              <w:bottom w:val="single" w:sz="4" w:space="0" w:color="auto"/>
              <w:right w:val="nil"/>
            </w:tcBorders>
            <w:shd w:val="clear" w:color="auto" w:fill="auto"/>
            <w:noWrap/>
            <w:hideMark/>
          </w:tcPr>
          <w:p w14:paraId="5CA06A6F" w14:textId="77777777" w:rsidR="00C50188" w:rsidRPr="00C50188" w:rsidRDefault="00C50188" w:rsidP="00AF164C">
            <w:pPr>
              <w:jc w:val="center"/>
            </w:pPr>
            <w:r w:rsidRPr="00C50188">
              <w:t>T2</w:t>
            </w:r>
          </w:p>
        </w:tc>
        <w:tc>
          <w:tcPr>
            <w:tcW w:w="995" w:type="pct"/>
            <w:tcBorders>
              <w:top w:val="nil"/>
              <w:left w:val="nil"/>
              <w:bottom w:val="single" w:sz="4" w:space="0" w:color="auto"/>
              <w:right w:val="nil"/>
            </w:tcBorders>
            <w:shd w:val="clear" w:color="auto" w:fill="auto"/>
            <w:noWrap/>
            <w:hideMark/>
          </w:tcPr>
          <w:p w14:paraId="1120073C" w14:textId="77777777" w:rsidR="00C50188" w:rsidRPr="00C50188" w:rsidRDefault="00C50188" w:rsidP="00AF164C">
            <w:pPr>
              <w:jc w:val="center"/>
            </w:pPr>
            <w:r w:rsidRPr="00C50188">
              <w:t>-2.41</w:t>
            </w:r>
          </w:p>
        </w:tc>
        <w:tc>
          <w:tcPr>
            <w:tcW w:w="995" w:type="pct"/>
            <w:tcBorders>
              <w:top w:val="nil"/>
              <w:left w:val="nil"/>
              <w:bottom w:val="single" w:sz="4" w:space="0" w:color="auto"/>
              <w:right w:val="nil"/>
            </w:tcBorders>
            <w:shd w:val="clear" w:color="auto" w:fill="auto"/>
            <w:noWrap/>
            <w:hideMark/>
          </w:tcPr>
          <w:p w14:paraId="14C23349" w14:textId="77777777" w:rsidR="00C50188" w:rsidRPr="00C50188" w:rsidRDefault="00C50188" w:rsidP="00AF164C">
            <w:pPr>
              <w:jc w:val="center"/>
            </w:pPr>
            <w:r w:rsidRPr="00C50188">
              <w:t>2.41</w:t>
            </w:r>
          </w:p>
        </w:tc>
        <w:tc>
          <w:tcPr>
            <w:tcW w:w="995" w:type="pct"/>
            <w:tcBorders>
              <w:top w:val="nil"/>
              <w:left w:val="nil"/>
              <w:bottom w:val="single" w:sz="4" w:space="0" w:color="auto"/>
              <w:right w:val="single" w:sz="4" w:space="0" w:color="auto"/>
            </w:tcBorders>
            <w:shd w:val="clear" w:color="auto" w:fill="auto"/>
            <w:noWrap/>
          </w:tcPr>
          <w:p w14:paraId="79362A9E" w14:textId="23F61B3E" w:rsidR="00C50188" w:rsidRPr="00C50188" w:rsidRDefault="005F7B9C" w:rsidP="00AF164C">
            <w:pPr>
              <w:jc w:val="center"/>
            </w:pPr>
            <w:r>
              <w:t>≠</w:t>
            </w:r>
          </w:p>
        </w:tc>
      </w:tr>
      <w:tr w:rsidR="00C50188" w:rsidRPr="00C50188" w14:paraId="2E7B2D29" w14:textId="77777777" w:rsidTr="00AF164C">
        <w:trPr>
          <w:trHeight w:val="288"/>
          <w:jc w:val="center"/>
        </w:trPr>
        <w:tc>
          <w:tcPr>
            <w:tcW w:w="1019" w:type="pct"/>
            <w:tcBorders>
              <w:top w:val="single" w:sz="4" w:space="0" w:color="auto"/>
              <w:bottom w:val="single" w:sz="4" w:space="0" w:color="auto"/>
              <w:right w:val="nil"/>
            </w:tcBorders>
            <w:shd w:val="clear" w:color="auto" w:fill="auto"/>
            <w:noWrap/>
            <w:hideMark/>
          </w:tcPr>
          <w:p w14:paraId="2A44076F" w14:textId="11213FD0" w:rsidR="00C50188" w:rsidRPr="00C50188" w:rsidRDefault="009777D0" w:rsidP="00EF0132">
            <w:r>
              <w:t>AB</w:t>
            </w:r>
          </w:p>
        </w:tc>
        <w:tc>
          <w:tcPr>
            <w:tcW w:w="995" w:type="pct"/>
            <w:tcBorders>
              <w:top w:val="single" w:sz="4" w:space="0" w:color="auto"/>
              <w:left w:val="nil"/>
              <w:bottom w:val="single" w:sz="4" w:space="0" w:color="auto"/>
              <w:right w:val="nil"/>
            </w:tcBorders>
            <w:shd w:val="clear" w:color="auto" w:fill="auto"/>
            <w:noWrap/>
            <w:hideMark/>
          </w:tcPr>
          <w:p w14:paraId="0EDDED9E" w14:textId="77777777" w:rsidR="00C50188" w:rsidRPr="00C50188" w:rsidRDefault="00C50188" w:rsidP="00AF164C">
            <w:pPr>
              <w:jc w:val="center"/>
            </w:pPr>
            <w:r w:rsidRPr="00C50188">
              <w:t>GL</w:t>
            </w:r>
          </w:p>
        </w:tc>
        <w:tc>
          <w:tcPr>
            <w:tcW w:w="995" w:type="pct"/>
            <w:tcBorders>
              <w:top w:val="single" w:sz="4" w:space="0" w:color="auto"/>
              <w:left w:val="nil"/>
              <w:bottom w:val="single" w:sz="4" w:space="0" w:color="auto"/>
              <w:right w:val="nil"/>
            </w:tcBorders>
            <w:shd w:val="clear" w:color="auto" w:fill="auto"/>
            <w:noWrap/>
            <w:hideMark/>
          </w:tcPr>
          <w:p w14:paraId="72F17407" w14:textId="77777777" w:rsidR="00C50188" w:rsidRPr="00C50188" w:rsidRDefault="00C50188" w:rsidP="00AF164C">
            <w:pPr>
              <w:jc w:val="center"/>
            </w:pPr>
            <w:r w:rsidRPr="00C50188">
              <w:t>SC</w:t>
            </w:r>
          </w:p>
        </w:tc>
        <w:tc>
          <w:tcPr>
            <w:tcW w:w="995" w:type="pct"/>
            <w:tcBorders>
              <w:top w:val="single" w:sz="4" w:space="0" w:color="auto"/>
              <w:left w:val="nil"/>
              <w:bottom w:val="single" w:sz="4" w:space="0" w:color="auto"/>
              <w:right w:val="nil"/>
            </w:tcBorders>
            <w:shd w:val="clear" w:color="auto" w:fill="auto"/>
            <w:noWrap/>
            <w:hideMark/>
          </w:tcPr>
          <w:p w14:paraId="33FD2223" w14:textId="77777777" w:rsidR="00C50188" w:rsidRPr="00C50188" w:rsidRDefault="00C50188" w:rsidP="00AF164C">
            <w:pPr>
              <w:jc w:val="center"/>
            </w:pPr>
            <w:r w:rsidRPr="00C50188">
              <w:t>CM</w:t>
            </w:r>
          </w:p>
        </w:tc>
        <w:tc>
          <w:tcPr>
            <w:tcW w:w="995" w:type="pct"/>
            <w:tcBorders>
              <w:top w:val="single" w:sz="4" w:space="0" w:color="auto"/>
              <w:left w:val="nil"/>
              <w:bottom w:val="single" w:sz="4" w:space="0" w:color="auto"/>
              <w:right w:val="single" w:sz="4" w:space="0" w:color="auto"/>
            </w:tcBorders>
            <w:shd w:val="clear" w:color="auto" w:fill="auto"/>
            <w:noWrap/>
            <w:hideMark/>
          </w:tcPr>
          <w:p w14:paraId="11135A48" w14:textId="77777777" w:rsidR="00C50188" w:rsidRPr="00C50188" w:rsidRDefault="00C50188" w:rsidP="00AF164C">
            <w:pPr>
              <w:jc w:val="center"/>
            </w:pPr>
            <w:r w:rsidRPr="00C50188">
              <w:t>F</w:t>
            </w:r>
          </w:p>
        </w:tc>
      </w:tr>
      <w:tr w:rsidR="00C50188" w:rsidRPr="00C50188" w14:paraId="460B89F8" w14:textId="77777777" w:rsidTr="00AF164C">
        <w:trPr>
          <w:trHeight w:val="288"/>
          <w:jc w:val="center"/>
        </w:trPr>
        <w:tc>
          <w:tcPr>
            <w:tcW w:w="1019" w:type="pct"/>
            <w:tcBorders>
              <w:top w:val="single" w:sz="4" w:space="0" w:color="auto"/>
              <w:left w:val="single" w:sz="4" w:space="0" w:color="auto"/>
              <w:bottom w:val="nil"/>
              <w:right w:val="nil"/>
            </w:tcBorders>
            <w:shd w:val="clear" w:color="auto" w:fill="auto"/>
            <w:noWrap/>
            <w:hideMark/>
          </w:tcPr>
          <w:p w14:paraId="46804FCB" w14:textId="77777777" w:rsidR="00C50188" w:rsidRPr="00C50188" w:rsidRDefault="00C50188" w:rsidP="00EF0132">
            <w:r w:rsidRPr="00C50188">
              <w:t>Tratamientos</w:t>
            </w:r>
          </w:p>
        </w:tc>
        <w:tc>
          <w:tcPr>
            <w:tcW w:w="995" w:type="pct"/>
            <w:tcBorders>
              <w:top w:val="single" w:sz="4" w:space="0" w:color="auto"/>
              <w:left w:val="nil"/>
              <w:bottom w:val="nil"/>
              <w:right w:val="nil"/>
            </w:tcBorders>
            <w:shd w:val="clear" w:color="auto" w:fill="auto"/>
            <w:noWrap/>
            <w:hideMark/>
          </w:tcPr>
          <w:p w14:paraId="4381E6AD" w14:textId="77777777" w:rsidR="00C50188" w:rsidRPr="00C50188" w:rsidRDefault="00C50188" w:rsidP="00AF164C">
            <w:pPr>
              <w:jc w:val="center"/>
            </w:pPr>
            <w:r w:rsidRPr="00C50188">
              <w:t>3</w:t>
            </w:r>
          </w:p>
        </w:tc>
        <w:tc>
          <w:tcPr>
            <w:tcW w:w="995" w:type="pct"/>
            <w:tcBorders>
              <w:top w:val="single" w:sz="4" w:space="0" w:color="auto"/>
              <w:left w:val="nil"/>
              <w:bottom w:val="nil"/>
              <w:right w:val="nil"/>
            </w:tcBorders>
            <w:shd w:val="clear" w:color="auto" w:fill="auto"/>
            <w:noWrap/>
            <w:hideMark/>
          </w:tcPr>
          <w:p w14:paraId="697B6312" w14:textId="77777777" w:rsidR="00C50188" w:rsidRPr="00C50188" w:rsidRDefault="00C50188" w:rsidP="00AF164C">
            <w:pPr>
              <w:jc w:val="center"/>
            </w:pPr>
            <w:r w:rsidRPr="00C50188">
              <w:t>213.27</w:t>
            </w:r>
          </w:p>
        </w:tc>
        <w:tc>
          <w:tcPr>
            <w:tcW w:w="995" w:type="pct"/>
            <w:tcBorders>
              <w:top w:val="single" w:sz="4" w:space="0" w:color="auto"/>
              <w:left w:val="nil"/>
              <w:bottom w:val="nil"/>
              <w:right w:val="nil"/>
            </w:tcBorders>
            <w:shd w:val="clear" w:color="auto" w:fill="auto"/>
            <w:noWrap/>
            <w:hideMark/>
          </w:tcPr>
          <w:p w14:paraId="3D949CC7" w14:textId="77777777" w:rsidR="00C50188" w:rsidRPr="00C50188" w:rsidRDefault="00C50188" w:rsidP="00AF164C">
            <w:pPr>
              <w:jc w:val="center"/>
            </w:pPr>
            <w:r w:rsidRPr="00C50188">
              <w:t>71.09</w:t>
            </w:r>
          </w:p>
        </w:tc>
        <w:tc>
          <w:tcPr>
            <w:tcW w:w="995" w:type="pct"/>
            <w:tcBorders>
              <w:top w:val="single" w:sz="4" w:space="0" w:color="auto"/>
              <w:left w:val="nil"/>
              <w:bottom w:val="nil"/>
              <w:right w:val="single" w:sz="4" w:space="0" w:color="auto"/>
            </w:tcBorders>
            <w:shd w:val="clear" w:color="auto" w:fill="auto"/>
            <w:noWrap/>
            <w:hideMark/>
          </w:tcPr>
          <w:p w14:paraId="094F6613" w14:textId="77777777" w:rsidR="00C50188" w:rsidRPr="00C50188" w:rsidRDefault="00C50188" w:rsidP="00AF164C">
            <w:pPr>
              <w:jc w:val="center"/>
            </w:pPr>
            <w:r w:rsidRPr="00C50188">
              <w:t>12.42*</w:t>
            </w:r>
          </w:p>
        </w:tc>
      </w:tr>
      <w:tr w:rsidR="00C50188" w:rsidRPr="00C50188" w14:paraId="260889E5" w14:textId="77777777" w:rsidTr="00AF164C">
        <w:trPr>
          <w:trHeight w:val="288"/>
          <w:jc w:val="center"/>
        </w:trPr>
        <w:tc>
          <w:tcPr>
            <w:tcW w:w="1019" w:type="pct"/>
            <w:tcBorders>
              <w:top w:val="nil"/>
              <w:left w:val="single" w:sz="4" w:space="0" w:color="auto"/>
              <w:bottom w:val="nil"/>
              <w:right w:val="nil"/>
            </w:tcBorders>
            <w:shd w:val="clear" w:color="auto" w:fill="auto"/>
            <w:noWrap/>
            <w:hideMark/>
          </w:tcPr>
          <w:p w14:paraId="43B8C93C" w14:textId="77777777" w:rsidR="00C50188" w:rsidRPr="00C50188" w:rsidRDefault="00C50188" w:rsidP="00EF0132">
            <w:r w:rsidRPr="00C50188">
              <w:t>Error</w:t>
            </w:r>
          </w:p>
        </w:tc>
        <w:tc>
          <w:tcPr>
            <w:tcW w:w="995" w:type="pct"/>
            <w:tcBorders>
              <w:top w:val="nil"/>
              <w:left w:val="nil"/>
              <w:bottom w:val="nil"/>
              <w:right w:val="nil"/>
            </w:tcBorders>
            <w:shd w:val="clear" w:color="auto" w:fill="auto"/>
            <w:noWrap/>
            <w:hideMark/>
          </w:tcPr>
          <w:p w14:paraId="230CC9FB" w14:textId="77777777" w:rsidR="00C50188" w:rsidRPr="00C50188" w:rsidRDefault="00C50188" w:rsidP="00AF164C">
            <w:pPr>
              <w:jc w:val="center"/>
            </w:pPr>
            <w:r w:rsidRPr="00C50188">
              <w:t>43</w:t>
            </w:r>
          </w:p>
        </w:tc>
        <w:tc>
          <w:tcPr>
            <w:tcW w:w="995" w:type="pct"/>
            <w:tcBorders>
              <w:top w:val="nil"/>
              <w:left w:val="nil"/>
              <w:bottom w:val="nil"/>
              <w:right w:val="nil"/>
            </w:tcBorders>
            <w:shd w:val="clear" w:color="auto" w:fill="auto"/>
            <w:noWrap/>
            <w:hideMark/>
          </w:tcPr>
          <w:p w14:paraId="3CAD6B17" w14:textId="77777777" w:rsidR="00C50188" w:rsidRPr="00C50188" w:rsidRDefault="00C50188" w:rsidP="00AF164C">
            <w:pPr>
              <w:jc w:val="center"/>
            </w:pPr>
            <w:r w:rsidRPr="00C50188">
              <w:t>246.20</w:t>
            </w:r>
          </w:p>
        </w:tc>
        <w:tc>
          <w:tcPr>
            <w:tcW w:w="995" w:type="pct"/>
            <w:tcBorders>
              <w:top w:val="nil"/>
              <w:left w:val="nil"/>
              <w:bottom w:val="nil"/>
              <w:right w:val="nil"/>
            </w:tcBorders>
            <w:shd w:val="clear" w:color="auto" w:fill="auto"/>
            <w:noWrap/>
            <w:hideMark/>
          </w:tcPr>
          <w:p w14:paraId="63F22114" w14:textId="77777777" w:rsidR="00C50188" w:rsidRPr="00C50188" w:rsidRDefault="00C50188" w:rsidP="00AF164C">
            <w:pPr>
              <w:jc w:val="center"/>
            </w:pPr>
            <w:r w:rsidRPr="00C50188">
              <w:t>5.73</w:t>
            </w:r>
          </w:p>
        </w:tc>
        <w:tc>
          <w:tcPr>
            <w:tcW w:w="995" w:type="pct"/>
            <w:tcBorders>
              <w:top w:val="nil"/>
              <w:left w:val="nil"/>
              <w:bottom w:val="nil"/>
              <w:right w:val="single" w:sz="4" w:space="0" w:color="auto"/>
            </w:tcBorders>
            <w:shd w:val="clear" w:color="auto" w:fill="auto"/>
            <w:noWrap/>
            <w:hideMark/>
          </w:tcPr>
          <w:p w14:paraId="5AEBE04B" w14:textId="77777777" w:rsidR="00C50188" w:rsidRPr="00C50188" w:rsidRDefault="00C50188" w:rsidP="00AF164C">
            <w:pPr>
              <w:jc w:val="center"/>
            </w:pPr>
          </w:p>
        </w:tc>
      </w:tr>
      <w:tr w:rsidR="00C50188" w:rsidRPr="00C50188" w14:paraId="572EF029" w14:textId="77777777" w:rsidTr="00AF164C">
        <w:trPr>
          <w:trHeight w:val="288"/>
          <w:jc w:val="center"/>
        </w:trPr>
        <w:tc>
          <w:tcPr>
            <w:tcW w:w="1019" w:type="pct"/>
            <w:tcBorders>
              <w:top w:val="nil"/>
              <w:left w:val="single" w:sz="4" w:space="0" w:color="auto"/>
              <w:bottom w:val="nil"/>
              <w:right w:val="nil"/>
            </w:tcBorders>
            <w:shd w:val="clear" w:color="auto" w:fill="auto"/>
            <w:noWrap/>
            <w:hideMark/>
          </w:tcPr>
          <w:p w14:paraId="309ED834" w14:textId="77777777" w:rsidR="00C50188" w:rsidRPr="00C50188" w:rsidRDefault="00C50188" w:rsidP="00EF0132">
            <w:r w:rsidRPr="00C50188">
              <w:t>Total</w:t>
            </w:r>
          </w:p>
        </w:tc>
        <w:tc>
          <w:tcPr>
            <w:tcW w:w="995" w:type="pct"/>
            <w:tcBorders>
              <w:top w:val="nil"/>
              <w:left w:val="nil"/>
              <w:bottom w:val="nil"/>
              <w:right w:val="nil"/>
            </w:tcBorders>
            <w:shd w:val="clear" w:color="auto" w:fill="auto"/>
            <w:noWrap/>
            <w:hideMark/>
          </w:tcPr>
          <w:p w14:paraId="58D91DB4" w14:textId="77777777" w:rsidR="00C50188" w:rsidRPr="00C50188" w:rsidRDefault="00C50188" w:rsidP="00AF164C">
            <w:pPr>
              <w:jc w:val="center"/>
            </w:pPr>
            <w:r w:rsidRPr="00C50188">
              <w:t>46</w:t>
            </w:r>
          </w:p>
        </w:tc>
        <w:tc>
          <w:tcPr>
            <w:tcW w:w="995" w:type="pct"/>
            <w:tcBorders>
              <w:top w:val="nil"/>
              <w:left w:val="nil"/>
              <w:bottom w:val="nil"/>
              <w:right w:val="nil"/>
            </w:tcBorders>
            <w:shd w:val="clear" w:color="auto" w:fill="auto"/>
            <w:noWrap/>
            <w:hideMark/>
          </w:tcPr>
          <w:p w14:paraId="1C5561ED" w14:textId="77777777" w:rsidR="00C50188" w:rsidRPr="00C50188" w:rsidRDefault="00C50188" w:rsidP="00AF164C">
            <w:pPr>
              <w:jc w:val="center"/>
            </w:pPr>
            <w:r w:rsidRPr="00C50188">
              <w:t>459.47</w:t>
            </w:r>
          </w:p>
        </w:tc>
        <w:tc>
          <w:tcPr>
            <w:tcW w:w="995" w:type="pct"/>
            <w:tcBorders>
              <w:top w:val="nil"/>
              <w:left w:val="nil"/>
              <w:bottom w:val="nil"/>
              <w:right w:val="nil"/>
            </w:tcBorders>
            <w:shd w:val="clear" w:color="auto" w:fill="auto"/>
            <w:noWrap/>
            <w:hideMark/>
          </w:tcPr>
          <w:p w14:paraId="129A8B48" w14:textId="77777777" w:rsidR="00C50188" w:rsidRPr="00C50188" w:rsidRDefault="00C50188" w:rsidP="00AF164C">
            <w:pPr>
              <w:jc w:val="center"/>
            </w:pPr>
          </w:p>
        </w:tc>
        <w:tc>
          <w:tcPr>
            <w:tcW w:w="995" w:type="pct"/>
            <w:tcBorders>
              <w:top w:val="nil"/>
              <w:left w:val="nil"/>
              <w:bottom w:val="nil"/>
              <w:right w:val="single" w:sz="4" w:space="0" w:color="auto"/>
            </w:tcBorders>
            <w:shd w:val="clear" w:color="auto" w:fill="auto"/>
            <w:noWrap/>
            <w:hideMark/>
          </w:tcPr>
          <w:p w14:paraId="4DDDF5E3" w14:textId="77777777" w:rsidR="00C50188" w:rsidRPr="00C50188" w:rsidRDefault="00C50188" w:rsidP="00AF164C">
            <w:pPr>
              <w:jc w:val="center"/>
            </w:pPr>
          </w:p>
        </w:tc>
      </w:tr>
      <w:tr w:rsidR="00EF0132" w:rsidRPr="00C50188" w14:paraId="36A5A609" w14:textId="77777777" w:rsidTr="00AF164C">
        <w:trPr>
          <w:trHeight w:val="288"/>
          <w:jc w:val="center"/>
        </w:trPr>
        <w:tc>
          <w:tcPr>
            <w:tcW w:w="5000" w:type="pct"/>
            <w:gridSpan w:val="5"/>
            <w:tcBorders>
              <w:top w:val="nil"/>
              <w:left w:val="single" w:sz="4" w:space="0" w:color="auto"/>
              <w:bottom w:val="nil"/>
              <w:right w:val="single" w:sz="4" w:space="0" w:color="auto"/>
            </w:tcBorders>
            <w:shd w:val="clear" w:color="auto" w:fill="auto"/>
            <w:noWrap/>
            <w:hideMark/>
          </w:tcPr>
          <w:p w14:paraId="5D8E497A" w14:textId="3183A741" w:rsidR="00EF0132" w:rsidRPr="00C50188" w:rsidRDefault="00EF0132" w:rsidP="00AF164C">
            <w:proofErr w:type="spellStart"/>
            <w:r w:rsidRPr="00C50188">
              <w:t>Tabla</w:t>
            </w:r>
            <w:proofErr w:type="spellEnd"/>
            <w:r w:rsidRPr="00C50188">
              <w:t xml:space="preserve"> de </w:t>
            </w:r>
            <w:proofErr w:type="spellStart"/>
            <w:r w:rsidRPr="00C50188">
              <w:t>contraste</w:t>
            </w:r>
            <w:proofErr w:type="spellEnd"/>
          </w:p>
        </w:tc>
      </w:tr>
      <w:tr w:rsidR="00C50188" w:rsidRPr="00C50188" w14:paraId="67E768EE" w14:textId="77777777" w:rsidTr="00AF164C">
        <w:trPr>
          <w:trHeight w:val="288"/>
          <w:jc w:val="center"/>
        </w:trPr>
        <w:tc>
          <w:tcPr>
            <w:tcW w:w="1019" w:type="pct"/>
            <w:tcBorders>
              <w:top w:val="nil"/>
              <w:left w:val="single" w:sz="4" w:space="0" w:color="auto"/>
              <w:bottom w:val="nil"/>
              <w:right w:val="nil"/>
            </w:tcBorders>
            <w:shd w:val="clear" w:color="auto" w:fill="auto"/>
            <w:noWrap/>
            <w:hideMark/>
          </w:tcPr>
          <w:p w14:paraId="0BDF8383" w14:textId="77777777" w:rsidR="00C50188" w:rsidRPr="00C50188" w:rsidRDefault="00C50188" w:rsidP="00EF0132">
            <w:r w:rsidRPr="00C50188">
              <w:t>T1</w:t>
            </w:r>
          </w:p>
        </w:tc>
        <w:tc>
          <w:tcPr>
            <w:tcW w:w="995" w:type="pct"/>
            <w:tcBorders>
              <w:top w:val="nil"/>
              <w:left w:val="nil"/>
              <w:bottom w:val="nil"/>
              <w:right w:val="nil"/>
            </w:tcBorders>
            <w:shd w:val="clear" w:color="auto" w:fill="auto"/>
            <w:noWrap/>
            <w:hideMark/>
          </w:tcPr>
          <w:p w14:paraId="18C4DCB5" w14:textId="77777777" w:rsidR="00C50188" w:rsidRPr="00C50188" w:rsidRDefault="00C50188" w:rsidP="00AF164C">
            <w:pPr>
              <w:jc w:val="center"/>
            </w:pPr>
            <w:r w:rsidRPr="00C50188">
              <w:t>T2</w:t>
            </w:r>
          </w:p>
        </w:tc>
        <w:tc>
          <w:tcPr>
            <w:tcW w:w="995" w:type="pct"/>
            <w:tcBorders>
              <w:top w:val="nil"/>
              <w:left w:val="nil"/>
              <w:bottom w:val="nil"/>
              <w:right w:val="nil"/>
            </w:tcBorders>
            <w:shd w:val="clear" w:color="auto" w:fill="auto"/>
            <w:noWrap/>
            <w:hideMark/>
          </w:tcPr>
          <w:p w14:paraId="5353D45C" w14:textId="77777777" w:rsidR="00C50188" w:rsidRPr="00C50188" w:rsidRDefault="00C50188" w:rsidP="00AF164C">
            <w:pPr>
              <w:jc w:val="center"/>
            </w:pPr>
            <w:r w:rsidRPr="00C50188">
              <w:t>-1.81</w:t>
            </w:r>
          </w:p>
        </w:tc>
        <w:tc>
          <w:tcPr>
            <w:tcW w:w="995" w:type="pct"/>
            <w:tcBorders>
              <w:top w:val="nil"/>
              <w:left w:val="nil"/>
              <w:bottom w:val="nil"/>
              <w:right w:val="nil"/>
            </w:tcBorders>
            <w:shd w:val="clear" w:color="auto" w:fill="auto"/>
            <w:noWrap/>
            <w:hideMark/>
          </w:tcPr>
          <w:p w14:paraId="5206A7A2" w14:textId="77777777" w:rsidR="00C50188" w:rsidRPr="00C50188" w:rsidRDefault="00C50188" w:rsidP="00AF164C">
            <w:pPr>
              <w:jc w:val="center"/>
            </w:pPr>
            <w:r w:rsidRPr="00C50188">
              <w:t>1.48</w:t>
            </w:r>
          </w:p>
        </w:tc>
        <w:tc>
          <w:tcPr>
            <w:tcW w:w="995" w:type="pct"/>
            <w:tcBorders>
              <w:top w:val="nil"/>
              <w:left w:val="nil"/>
              <w:bottom w:val="nil"/>
              <w:right w:val="single" w:sz="4" w:space="0" w:color="auto"/>
            </w:tcBorders>
            <w:shd w:val="clear" w:color="auto" w:fill="auto"/>
            <w:noWrap/>
          </w:tcPr>
          <w:p w14:paraId="6459E65D" w14:textId="4B580E9C" w:rsidR="00C50188" w:rsidRPr="00C50188" w:rsidRDefault="005F7B9C" w:rsidP="00AF164C">
            <w:pPr>
              <w:jc w:val="center"/>
            </w:pPr>
            <w:r>
              <w:t>≠</w:t>
            </w:r>
          </w:p>
        </w:tc>
      </w:tr>
      <w:tr w:rsidR="00C50188" w:rsidRPr="00C50188" w14:paraId="5E75FA8C" w14:textId="77777777" w:rsidTr="00AF164C">
        <w:trPr>
          <w:trHeight w:val="288"/>
          <w:jc w:val="center"/>
        </w:trPr>
        <w:tc>
          <w:tcPr>
            <w:tcW w:w="1019" w:type="pct"/>
            <w:tcBorders>
              <w:top w:val="nil"/>
              <w:left w:val="single" w:sz="4" w:space="0" w:color="auto"/>
              <w:bottom w:val="single" w:sz="4" w:space="0" w:color="auto"/>
              <w:right w:val="nil"/>
            </w:tcBorders>
            <w:shd w:val="clear" w:color="auto" w:fill="auto"/>
            <w:noWrap/>
            <w:hideMark/>
          </w:tcPr>
          <w:p w14:paraId="33B168EC" w14:textId="77777777" w:rsidR="00C50188" w:rsidRPr="00C50188" w:rsidRDefault="00C50188" w:rsidP="00EF0132">
            <w:r w:rsidRPr="00C50188">
              <w:t>T2</w:t>
            </w:r>
          </w:p>
        </w:tc>
        <w:tc>
          <w:tcPr>
            <w:tcW w:w="995" w:type="pct"/>
            <w:tcBorders>
              <w:top w:val="nil"/>
              <w:left w:val="nil"/>
              <w:bottom w:val="single" w:sz="4" w:space="0" w:color="auto"/>
              <w:right w:val="nil"/>
            </w:tcBorders>
            <w:shd w:val="clear" w:color="auto" w:fill="auto"/>
            <w:noWrap/>
            <w:hideMark/>
          </w:tcPr>
          <w:p w14:paraId="3813063E" w14:textId="77777777" w:rsidR="00C50188" w:rsidRPr="00C50188" w:rsidRDefault="00C50188" w:rsidP="00AF164C">
            <w:pPr>
              <w:jc w:val="center"/>
            </w:pPr>
            <w:r w:rsidRPr="00C50188">
              <w:t>T3</w:t>
            </w:r>
          </w:p>
        </w:tc>
        <w:tc>
          <w:tcPr>
            <w:tcW w:w="995" w:type="pct"/>
            <w:tcBorders>
              <w:top w:val="nil"/>
              <w:left w:val="nil"/>
              <w:bottom w:val="single" w:sz="4" w:space="0" w:color="auto"/>
              <w:right w:val="nil"/>
            </w:tcBorders>
            <w:shd w:val="clear" w:color="auto" w:fill="auto"/>
            <w:noWrap/>
            <w:hideMark/>
          </w:tcPr>
          <w:p w14:paraId="4CE35090" w14:textId="77777777" w:rsidR="00C50188" w:rsidRPr="00C50188" w:rsidRDefault="00C50188" w:rsidP="00AF164C">
            <w:pPr>
              <w:jc w:val="center"/>
            </w:pPr>
            <w:r w:rsidRPr="00C50188">
              <w:t>-3.14</w:t>
            </w:r>
          </w:p>
        </w:tc>
        <w:tc>
          <w:tcPr>
            <w:tcW w:w="995" w:type="pct"/>
            <w:tcBorders>
              <w:top w:val="nil"/>
              <w:left w:val="nil"/>
              <w:bottom w:val="single" w:sz="4" w:space="0" w:color="auto"/>
              <w:right w:val="nil"/>
            </w:tcBorders>
            <w:shd w:val="clear" w:color="auto" w:fill="auto"/>
            <w:noWrap/>
            <w:hideMark/>
          </w:tcPr>
          <w:p w14:paraId="47968E90" w14:textId="77777777" w:rsidR="00C50188" w:rsidRPr="00C50188" w:rsidRDefault="00C50188" w:rsidP="00AF164C">
            <w:pPr>
              <w:jc w:val="center"/>
            </w:pPr>
            <w:r w:rsidRPr="00C50188">
              <w:t>0.14</w:t>
            </w:r>
          </w:p>
        </w:tc>
        <w:tc>
          <w:tcPr>
            <w:tcW w:w="995" w:type="pct"/>
            <w:tcBorders>
              <w:top w:val="nil"/>
              <w:left w:val="nil"/>
              <w:bottom w:val="single" w:sz="4" w:space="0" w:color="auto"/>
              <w:right w:val="single" w:sz="4" w:space="0" w:color="auto"/>
            </w:tcBorders>
            <w:shd w:val="clear" w:color="auto" w:fill="auto"/>
            <w:noWrap/>
          </w:tcPr>
          <w:p w14:paraId="75E7F384" w14:textId="72843899" w:rsidR="00C50188" w:rsidRPr="00C50188" w:rsidRDefault="005F7B9C" w:rsidP="00AF164C">
            <w:pPr>
              <w:jc w:val="center"/>
            </w:pPr>
            <w:r>
              <w:t>≠</w:t>
            </w:r>
          </w:p>
        </w:tc>
      </w:tr>
      <w:tr w:rsidR="00C50188" w:rsidRPr="00C50188" w14:paraId="149F9B43" w14:textId="77777777" w:rsidTr="00AF164C">
        <w:trPr>
          <w:trHeight w:val="288"/>
          <w:jc w:val="center"/>
        </w:trPr>
        <w:tc>
          <w:tcPr>
            <w:tcW w:w="1019" w:type="pct"/>
            <w:tcBorders>
              <w:top w:val="single" w:sz="4" w:space="0" w:color="auto"/>
              <w:bottom w:val="single" w:sz="4" w:space="0" w:color="auto"/>
              <w:right w:val="nil"/>
            </w:tcBorders>
            <w:shd w:val="clear" w:color="auto" w:fill="auto"/>
            <w:noWrap/>
            <w:hideMark/>
          </w:tcPr>
          <w:p w14:paraId="6FB7B092" w14:textId="61394662" w:rsidR="00C50188" w:rsidRPr="009777D0" w:rsidRDefault="009777D0" w:rsidP="00C50188">
            <w:pPr>
              <w:jc w:val="both"/>
              <w:rPr>
                <w:lang w:val="es-419"/>
              </w:rPr>
            </w:pPr>
            <w:r>
              <w:rPr>
                <w:lang w:val="es-419"/>
              </w:rPr>
              <w:t>LH</w:t>
            </w:r>
          </w:p>
        </w:tc>
        <w:tc>
          <w:tcPr>
            <w:tcW w:w="995" w:type="pct"/>
            <w:tcBorders>
              <w:top w:val="single" w:sz="4" w:space="0" w:color="auto"/>
              <w:left w:val="nil"/>
              <w:bottom w:val="single" w:sz="4" w:space="0" w:color="auto"/>
              <w:right w:val="nil"/>
            </w:tcBorders>
            <w:shd w:val="clear" w:color="auto" w:fill="auto"/>
            <w:noWrap/>
            <w:hideMark/>
          </w:tcPr>
          <w:p w14:paraId="74FDB7FD" w14:textId="77777777" w:rsidR="00C50188" w:rsidRPr="00C50188" w:rsidRDefault="00C50188" w:rsidP="00AF164C">
            <w:pPr>
              <w:jc w:val="center"/>
            </w:pPr>
            <w:r w:rsidRPr="00C50188">
              <w:t>GL</w:t>
            </w:r>
          </w:p>
        </w:tc>
        <w:tc>
          <w:tcPr>
            <w:tcW w:w="995" w:type="pct"/>
            <w:tcBorders>
              <w:top w:val="single" w:sz="4" w:space="0" w:color="auto"/>
              <w:left w:val="nil"/>
              <w:bottom w:val="single" w:sz="4" w:space="0" w:color="auto"/>
              <w:right w:val="nil"/>
            </w:tcBorders>
            <w:shd w:val="clear" w:color="auto" w:fill="auto"/>
            <w:noWrap/>
            <w:hideMark/>
          </w:tcPr>
          <w:p w14:paraId="448854EE" w14:textId="77777777" w:rsidR="00C50188" w:rsidRPr="00C50188" w:rsidRDefault="00C50188" w:rsidP="00AF164C">
            <w:pPr>
              <w:jc w:val="center"/>
            </w:pPr>
            <w:r w:rsidRPr="00C50188">
              <w:t>SC</w:t>
            </w:r>
          </w:p>
        </w:tc>
        <w:tc>
          <w:tcPr>
            <w:tcW w:w="995" w:type="pct"/>
            <w:tcBorders>
              <w:top w:val="single" w:sz="4" w:space="0" w:color="auto"/>
              <w:left w:val="nil"/>
              <w:bottom w:val="single" w:sz="4" w:space="0" w:color="auto"/>
              <w:right w:val="nil"/>
            </w:tcBorders>
            <w:shd w:val="clear" w:color="auto" w:fill="auto"/>
            <w:noWrap/>
            <w:hideMark/>
          </w:tcPr>
          <w:p w14:paraId="3D2EF738" w14:textId="77777777" w:rsidR="00C50188" w:rsidRPr="00C50188" w:rsidRDefault="00C50188" w:rsidP="00AF164C">
            <w:pPr>
              <w:jc w:val="center"/>
            </w:pPr>
            <w:r w:rsidRPr="00C50188">
              <w:t>CM</w:t>
            </w:r>
          </w:p>
        </w:tc>
        <w:tc>
          <w:tcPr>
            <w:tcW w:w="995" w:type="pct"/>
            <w:tcBorders>
              <w:top w:val="single" w:sz="4" w:space="0" w:color="auto"/>
              <w:left w:val="nil"/>
              <w:bottom w:val="single" w:sz="4" w:space="0" w:color="auto"/>
              <w:right w:val="single" w:sz="4" w:space="0" w:color="auto"/>
            </w:tcBorders>
            <w:shd w:val="clear" w:color="auto" w:fill="auto"/>
            <w:noWrap/>
            <w:hideMark/>
          </w:tcPr>
          <w:p w14:paraId="4DCEE121" w14:textId="77777777" w:rsidR="00C50188" w:rsidRPr="00C50188" w:rsidRDefault="00C50188" w:rsidP="00AF164C">
            <w:pPr>
              <w:jc w:val="center"/>
            </w:pPr>
            <w:r w:rsidRPr="00C50188">
              <w:t>F</w:t>
            </w:r>
          </w:p>
        </w:tc>
      </w:tr>
      <w:tr w:rsidR="00C50188" w:rsidRPr="00C50188" w14:paraId="1C601729" w14:textId="77777777" w:rsidTr="00AF164C">
        <w:trPr>
          <w:trHeight w:val="288"/>
          <w:jc w:val="center"/>
        </w:trPr>
        <w:tc>
          <w:tcPr>
            <w:tcW w:w="1019" w:type="pct"/>
            <w:tcBorders>
              <w:top w:val="single" w:sz="4" w:space="0" w:color="auto"/>
              <w:left w:val="single" w:sz="4" w:space="0" w:color="auto"/>
              <w:bottom w:val="nil"/>
              <w:right w:val="nil"/>
            </w:tcBorders>
            <w:shd w:val="clear" w:color="auto" w:fill="auto"/>
            <w:noWrap/>
            <w:hideMark/>
          </w:tcPr>
          <w:p w14:paraId="4A141EDF" w14:textId="77777777" w:rsidR="00C50188" w:rsidRPr="00C50188" w:rsidRDefault="00C50188" w:rsidP="00C50188">
            <w:pPr>
              <w:jc w:val="both"/>
            </w:pPr>
            <w:r w:rsidRPr="00C50188">
              <w:t>Tratamientos</w:t>
            </w:r>
          </w:p>
        </w:tc>
        <w:tc>
          <w:tcPr>
            <w:tcW w:w="995" w:type="pct"/>
            <w:tcBorders>
              <w:top w:val="single" w:sz="4" w:space="0" w:color="auto"/>
              <w:left w:val="nil"/>
              <w:bottom w:val="nil"/>
              <w:right w:val="nil"/>
            </w:tcBorders>
            <w:shd w:val="clear" w:color="auto" w:fill="auto"/>
            <w:noWrap/>
            <w:hideMark/>
          </w:tcPr>
          <w:p w14:paraId="00F1406F" w14:textId="77777777" w:rsidR="00C50188" w:rsidRPr="00C50188" w:rsidRDefault="00C50188" w:rsidP="00AF164C">
            <w:pPr>
              <w:jc w:val="center"/>
            </w:pPr>
            <w:r w:rsidRPr="00C50188">
              <w:t>3</w:t>
            </w:r>
          </w:p>
        </w:tc>
        <w:tc>
          <w:tcPr>
            <w:tcW w:w="995" w:type="pct"/>
            <w:tcBorders>
              <w:top w:val="single" w:sz="4" w:space="0" w:color="auto"/>
              <w:left w:val="nil"/>
              <w:bottom w:val="nil"/>
              <w:right w:val="nil"/>
            </w:tcBorders>
            <w:shd w:val="clear" w:color="auto" w:fill="auto"/>
            <w:noWrap/>
            <w:hideMark/>
          </w:tcPr>
          <w:p w14:paraId="4241999F" w14:textId="77777777" w:rsidR="00C50188" w:rsidRPr="00C50188" w:rsidRDefault="00C50188" w:rsidP="00AF164C">
            <w:pPr>
              <w:jc w:val="center"/>
            </w:pPr>
            <w:r w:rsidRPr="00C50188">
              <w:t>20.22</w:t>
            </w:r>
          </w:p>
        </w:tc>
        <w:tc>
          <w:tcPr>
            <w:tcW w:w="995" w:type="pct"/>
            <w:tcBorders>
              <w:top w:val="single" w:sz="4" w:space="0" w:color="auto"/>
              <w:left w:val="nil"/>
              <w:bottom w:val="nil"/>
              <w:right w:val="nil"/>
            </w:tcBorders>
            <w:shd w:val="clear" w:color="auto" w:fill="auto"/>
            <w:noWrap/>
            <w:hideMark/>
          </w:tcPr>
          <w:p w14:paraId="69AF448C" w14:textId="77777777" w:rsidR="00C50188" w:rsidRPr="00C50188" w:rsidRDefault="00C50188" w:rsidP="00AF164C">
            <w:pPr>
              <w:jc w:val="center"/>
            </w:pPr>
            <w:r w:rsidRPr="00C50188">
              <w:t>6.74</w:t>
            </w:r>
          </w:p>
        </w:tc>
        <w:tc>
          <w:tcPr>
            <w:tcW w:w="995" w:type="pct"/>
            <w:tcBorders>
              <w:top w:val="single" w:sz="4" w:space="0" w:color="auto"/>
              <w:left w:val="nil"/>
              <w:bottom w:val="nil"/>
              <w:right w:val="single" w:sz="4" w:space="0" w:color="auto"/>
            </w:tcBorders>
            <w:shd w:val="clear" w:color="auto" w:fill="auto"/>
            <w:noWrap/>
            <w:hideMark/>
          </w:tcPr>
          <w:p w14:paraId="03E5A7B9" w14:textId="77777777" w:rsidR="00C50188" w:rsidRPr="00C50188" w:rsidRDefault="00C50188" w:rsidP="00AF164C">
            <w:pPr>
              <w:jc w:val="center"/>
            </w:pPr>
            <w:r w:rsidRPr="00C50188">
              <w:t>29.92*</w:t>
            </w:r>
          </w:p>
        </w:tc>
      </w:tr>
      <w:tr w:rsidR="00C50188" w:rsidRPr="00C50188" w14:paraId="68CD4754" w14:textId="77777777" w:rsidTr="00AF164C">
        <w:trPr>
          <w:trHeight w:val="288"/>
          <w:jc w:val="center"/>
        </w:trPr>
        <w:tc>
          <w:tcPr>
            <w:tcW w:w="1019" w:type="pct"/>
            <w:tcBorders>
              <w:top w:val="nil"/>
              <w:left w:val="single" w:sz="4" w:space="0" w:color="auto"/>
              <w:bottom w:val="nil"/>
              <w:right w:val="nil"/>
            </w:tcBorders>
            <w:shd w:val="clear" w:color="auto" w:fill="auto"/>
            <w:noWrap/>
            <w:hideMark/>
          </w:tcPr>
          <w:p w14:paraId="2D654727" w14:textId="77777777" w:rsidR="00C50188" w:rsidRPr="00C50188" w:rsidRDefault="00C50188" w:rsidP="00C50188">
            <w:pPr>
              <w:jc w:val="both"/>
            </w:pPr>
            <w:r w:rsidRPr="00C50188">
              <w:t>Error</w:t>
            </w:r>
          </w:p>
        </w:tc>
        <w:tc>
          <w:tcPr>
            <w:tcW w:w="995" w:type="pct"/>
            <w:tcBorders>
              <w:top w:val="nil"/>
              <w:left w:val="nil"/>
              <w:bottom w:val="nil"/>
              <w:right w:val="nil"/>
            </w:tcBorders>
            <w:shd w:val="clear" w:color="auto" w:fill="auto"/>
            <w:noWrap/>
            <w:hideMark/>
          </w:tcPr>
          <w:p w14:paraId="2167730B" w14:textId="77777777" w:rsidR="00C50188" w:rsidRPr="00C50188" w:rsidRDefault="00C50188" w:rsidP="00AF164C">
            <w:pPr>
              <w:jc w:val="center"/>
            </w:pPr>
            <w:r w:rsidRPr="00C50188">
              <w:t>43</w:t>
            </w:r>
          </w:p>
        </w:tc>
        <w:tc>
          <w:tcPr>
            <w:tcW w:w="995" w:type="pct"/>
            <w:tcBorders>
              <w:top w:val="nil"/>
              <w:left w:val="nil"/>
              <w:bottom w:val="nil"/>
              <w:right w:val="nil"/>
            </w:tcBorders>
            <w:shd w:val="clear" w:color="auto" w:fill="auto"/>
            <w:noWrap/>
            <w:hideMark/>
          </w:tcPr>
          <w:p w14:paraId="18B5389A" w14:textId="77777777" w:rsidR="00C50188" w:rsidRPr="00C50188" w:rsidRDefault="00C50188" w:rsidP="00AF164C">
            <w:pPr>
              <w:jc w:val="center"/>
            </w:pPr>
            <w:r w:rsidRPr="00C50188">
              <w:t>9.69</w:t>
            </w:r>
          </w:p>
        </w:tc>
        <w:tc>
          <w:tcPr>
            <w:tcW w:w="995" w:type="pct"/>
            <w:tcBorders>
              <w:top w:val="nil"/>
              <w:left w:val="nil"/>
              <w:bottom w:val="nil"/>
              <w:right w:val="nil"/>
            </w:tcBorders>
            <w:shd w:val="clear" w:color="auto" w:fill="auto"/>
            <w:noWrap/>
            <w:hideMark/>
          </w:tcPr>
          <w:p w14:paraId="7B4929FC" w14:textId="77777777" w:rsidR="00C50188" w:rsidRPr="00C50188" w:rsidRDefault="00C50188" w:rsidP="00AF164C">
            <w:pPr>
              <w:jc w:val="center"/>
            </w:pPr>
            <w:r w:rsidRPr="00C50188">
              <w:t>0.23</w:t>
            </w:r>
          </w:p>
        </w:tc>
        <w:tc>
          <w:tcPr>
            <w:tcW w:w="995" w:type="pct"/>
            <w:tcBorders>
              <w:top w:val="nil"/>
              <w:left w:val="nil"/>
              <w:bottom w:val="nil"/>
              <w:right w:val="single" w:sz="4" w:space="0" w:color="auto"/>
            </w:tcBorders>
            <w:shd w:val="clear" w:color="auto" w:fill="auto"/>
            <w:noWrap/>
            <w:hideMark/>
          </w:tcPr>
          <w:p w14:paraId="40DC91AC" w14:textId="77777777" w:rsidR="00C50188" w:rsidRPr="00C50188" w:rsidRDefault="00C50188" w:rsidP="00AF164C">
            <w:pPr>
              <w:jc w:val="center"/>
            </w:pPr>
          </w:p>
        </w:tc>
      </w:tr>
      <w:tr w:rsidR="00C50188" w:rsidRPr="00C50188" w14:paraId="1055F8FF" w14:textId="77777777" w:rsidTr="00AF164C">
        <w:trPr>
          <w:trHeight w:val="288"/>
          <w:jc w:val="center"/>
        </w:trPr>
        <w:tc>
          <w:tcPr>
            <w:tcW w:w="1019" w:type="pct"/>
            <w:tcBorders>
              <w:top w:val="nil"/>
              <w:left w:val="single" w:sz="4" w:space="0" w:color="auto"/>
              <w:bottom w:val="nil"/>
              <w:right w:val="nil"/>
            </w:tcBorders>
            <w:shd w:val="clear" w:color="auto" w:fill="auto"/>
            <w:noWrap/>
            <w:hideMark/>
          </w:tcPr>
          <w:p w14:paraId="2636452C" w14:textId="77777777" w:rsidR="00C50188" w:rsidRPr="00C50188" w:rsidRDefault="00C50188" w:rsidP="00C50188">
            <w:pPr>
              <w:jc w:val="both"/>
            </w:pPr>
            <w:r w:rsidRPr="00C50188">
              <w:t>Total</w:t>
            </w:r>
          </w:p>
        </w:tc>
        <w:tc>
          <w:tcPr>
            <w:tcW w:w="995" w:type="pct"/>
            <w:tcBorders>
              <w:top w:val="nil"/>
              <w:left w:val="nil"/>
              <w:bottom w:val="nil"/>
              <w:right w:val="nil"/>
            </w:tcBorders>
            <w:shd w:val="clear" w:color="auto" w:fill="auto"/>
            <w:noWrap/>
            <w:hideMark/>
          </w:tcPr>
          <w:p w14:paraId="0B0872CB" w14:textId="77777777" w:rsidR="00C50188" w:rsidRPr="00C50188" w:rsidRDefault="00C50188" w:rsidP="00AF164C">
            <w:pPr>
              <w:jc w:val="center"/>
            </w:pPr>
            <w:r w:rsidRPr="00C50188">
              <w:t>46</w:t>
            </w:r>
          </w:p>
        </w:tc>
        <w:tc>
          <w:tcPr>
            <w:tcW w:w="995" w:type="pct"/>
            <w:tcBorders>
              <w:top w:val="nil"/>
              <w:left w:val="nil"/>
              <w:bottom w:val="nil"/>
              <w:right w:val="nil"/>
            </w:tcBorders>
            <w:shd w:val="clear" w:color="auto" w:fill="auto"/>
            <w:noWrap/>
            <w:hideMark/>
          </w:tcPr>
          <w:p w14:paraId="5E288600" w14:textId="77777777" w:rsidR="00C50188" w:rsidRPr="00C50188" w:rsidRDefault="00C50188" w:rsidP="00AF164C">
            <w:pPr>
              <w:jc w:val="center"/>
            </w:pPr>
            <w:r w:rsidRPr="00C50188">
              <w:t>29.90</w:t>
            </w:r>
          </w:p>
        </w:tc>
        <w:tc>
          <w:tcPr>
            <w:tcW w:w="995" w:type="pct"/>
            <w:tcBorders>
              <w:top w:val="nil"/>
              <w:left w:val="nil"/>
              <w:bottom w:val="nil"/>
              <w:right w:val="nil"/>
            </w:tcBorders>
            <w:shd w:val="clear" w:color="auto" w:fill="auto"/>
            <w:noWrap/>
            <w:hideMark/>
          </w:tcPr>
          <w:p w14:paraId="53A986F0" w14:textId="77777777" w:rsidR="00C50188" w:rsidRPr="00C50188" w:rsidRDefault="00C50188" w:rsidP="00AF164C">
            <w:pPr>
              <w:jc w:val="center"/>
            </w:pPr>
          </w:p>
        </w:tc>
        <w:tc>
          <w:tcPr>
            <w:tcW w:w="995" w:type="pct"/>
            <w:tcBorders>
              <w:top w:val="nil"/>
              <w:left w:val="nil"/>
              <w:bottom w:val="nil"/>
              <w:right w:val="single" w:sz="4" w:space="0" w:color="auto"/>
            </w:tcBorders>
            <w:shd w:val="clear" w:color="auto" w:fill="auto"/>
            <w:noWrap/>
            <w:hideMark/>
          </w:tcPr>
          <w:p w14:paraId="29AA9655" w14:textId="77777777" w:rsidR="00C50188" w:rsidRPr="00C50188" w:rsidRDefault="00C50188" w:rsidP="00AF164C">
            <w:pPr>
              <w:jc w:val="center"/>
            </w:pPr>
          </w:p>
        </w:tc>
      </w:tr>
      <w:tr w:rsidR="00EF0132" w:rsidRPr="00C50188" w14:paraId="5D878FF7" w14:textId="77777777" w:rsidTr="00AF164C">
        <w:trPr>
          <w:trHeight w:val="288"/>
          <w:jc w:val="center"/>
        </w:trPr>
        <w:tc>
          <w:tcPr>
            <w:tcW w:w="5000" w:type="pct"/>
            <w:gridSpan w:val="5"/>
            <w:tcBorders>
              <w:top w:val="nil"/>
              <w:left w:val="single" w:sz="4" w:space="0" w:color="auto"/>
              <w:bottom w:val="nil"/>
              <w:right w:val="single" w:sz="4" w:space="0" w:color="auto"/>
            </w:tcBorders>
            <w:shd w:val="clear" w:color="auto" w:fill="auto"/>
            <w:noWrap/>
            <w:hideMark/>
          </w:tcPr>
          <w:p w14:paraId="3779FA64" w14:textId="1BB0E532" w:rsidR="00EF0132" w:rsidRPr="00C50188" w:rsidRDefault="00EF0132" w:rsidP="00AF164C">
            <w:proofErr w:type="spellStart"/>
            <w:r w:rsidRPr="00C50188">
              <w:t>Tabla</w:t>
            </w:r>
            <w:proofErr w:type="spellEnd"/>
            <w:r w:rsidRPr="00C50188">
              <w:t xml:space="preserve"> de </w:t>
            </w:r>
            <w:proofErr w:type="spellStart"/>
            <w:r w:rsidRPr="00C50188">
              <w:t>contraste</w:t>
            </w:r>
            <w:proofErr w:type="spellEnd"/>
          </w:p>
        </w:tc>
      </w:tr>
      <w:tr w:rsidR="00C50188" w:rsidRPr="00C50188" w14:paraId="5DDDF28E" w14:textId="77777777" w:rsidTr="00AF164C">
        <w:trPr>
          <w:trHeight w:val="288"/>
          <w:jc w:val="center"/>
        </w:trPr>
        <w:tc>
          <w:tcPr>
            <w:tcW w:w="1019" w:type="pct"/>
            <w:tcBorders>
              <w:top w:val="nil"/>
              <w:left w:val="single" w:sz="4" w:space="0" w:color="auto"/>
              <w:bottom w:val="nil"/>
              <w:right w:val="nil"/>
            </w:tcBorders>
            <w:shd w:val="clear" w:color="auto" w:fill="auto"/>
            <w:noWrap/>
            <w:hideMark/>
          </w:tcPr>
          <w:p w14:paraId="34AAD511" w14:textId="77777777" w:rsidR="00C50188" w:rsidRPr="00C50188" w:rsidRDefault="00C50188" w:rsidP="00C50188">
            <w:pPr>
              <w:jc w:val="both"/>
            </w:pPr>
            <w:r w:rsidRPr="00C50188">
              <w:t>T1</w:t>
            </w:r>
          </w:p>
        </w:tc>
        <w:tc>
          <w:tcPr>
            <w:tcW w:w="995" w:type="pct"/>
            <w:tcBorders>
              <w:top w:val="nil"/>
              <w:left w:val="nil"/>
              <w:bottom w:val="nil"/>
              <w:right w:val="nil"/>
            </w:tcBorders>
            <w:shd w:val="clear" w:color="auto" w:fill="auto"/>
            <w:noWrap/>
            <w:hideMark/>
          </w:tcPr>
          <w:p w14:paraId="18BCBAF4" w14:textId="77777777" w:rsidR="00C50188" w:rsidRPr="00C50188" w:rsidRDefault="00C50188" w:rsidP="00AF164C">
            <w:pPr>
              <w:jc w:val="center"/>
            </w:pPr>
            <w:r w:rsidRPr="00C50188">
              <w:t>T2</w:t>
            </w:r>
          </w:p>
        </w:tc>
        <w:tc>
          <w:tcPr>
            <w:tcW w:w="995" w:type="pct"/>
            <w:tcBorders>
              <w:top w:val="nil"/>
              <w:left w:val="nil"/>
              <w:bottom w:val="nil"/>
              <w:right w:val="nil"/>
            </w:tcBorders>
            <w:shd w:val="clear" w:color="auto" w:fill="auto"/>
            <w:noWrap/>
            <w:hideMark/>
          </w:tcPr>
          <w:p w14:paraId="1B5CEAF3" w14:textId="77777777" w:rsidR="00C50188" w:rsidRPr="00C50188" w:rsidRDefault="00C50188" w:rsidP="00AF164C">
            <w:pPr>
              <w:jc w:val="center"/>
            </w:pPr>
            <w:r w:rsidRPr="00C50188">
              <w:t>-0.12</w:t>
            </w:r>
          </w:p>
        </w:tc>
        <w:tc>
          <w:tcPr>
            <w:tcW w:w="995" w:type="pct"/>
            <w:tcBorders>
              <w:top w:val="nil"/>
              <w:left w:val="nil"/>
              <w:bottom w:val="nil"/>
              <w:right w:val="nil"/>
            </w:tcBorders>
            <w:shd w:val="clear" w:color="auto" w:fill="auto"/>
            <w:noWrap/>
            <w:hideMark/>
          </w:tcPr>
          <w:p w14:paraId="56AE2A9E" w14:textId="77777777" w:rsidR="00C50188" w:rsidRPr="00C50188" w:rsidRDefault="00C50188" w:rsidP="00AF164C">
            <w:pPr>
              <w:jc w:val="center"/>
            </w:pPr>
            <w:r w:rsidRPr="00C50188">
              <w:t>0.53</w:t>
            </w:r>
          </w:p>
        </w:tc>
        <w:tc>
          <w:tcPr>
            <w:tcW w:w="995" w:type="pct"/>
            <w:tcBorders>
              <w:top w:val="nil"/>
              <w:left w:val="nil"/>
              <w:bottom w:val="nil"/>
              <w:right w:val="single" w:sz="4" w:space="0" w:color="auto"/>
            </w:tcBorders>
            <w:shd w:val="clear" w:color="auto" w:fill="auto"/>
            <w:noWrap/>
          </w:tcPr>
          <w:p w14:paraId="72A5CE08" w14:textId="19E774B4" w:rsidR="00C50188" w:rsidRPr="00C50188" w:rsidRDefault="005F7B9C" w:rsidP="00AF164C">
            <w:pPr>
              <w:jc w:val="center"/>
            </w:pPr>
            <w:r>
              <w:t>≠</w:t>
            </w:r>
          </w:p>
        </w:tc>
      </w:tr>
      <w:tr w:rsidR="00C50188" w:rsidRPr="00C50188" w14:paraId="22DB434E" w14:textId="77777777" w:rsidTr="00AF164C">
        <w:trPr>
          <w:trHeight w:val="288"/>
          <w:jc w:val="center"/>
        </w:trPr>
        <w:tc>
          <w:tcPr>
            <w:tcW w:w="1019" w:type="pct"/>
            <w:tcBorders>
              <w:top w:val="nil"/>
              <w:left w:val="single" w:sz="4" w:space="0" w:color="auto"/>
              <w:bottom w:val="nil"/>
              <w:right w:val="nil"/>
            </w:tcBorders>
            <w:shd w:val="clear" w:color="auto" w:fill="auto"/>
            <w:noWrap/>
            <w:hideMark/>
          </w:tcPr>
          <w:p w14:paraId="26AF0FEC" w14:textId="77777777" w:rsidR="00C50188" w:rsidRPr="00C50188" w:rsidRDefault="00C50188" w:rsidP="00C50188">
            <w:pPr>
              <w:jc w:val="both"/>
            </w:pPr>
            <w:r w:rsidRPr="00C50188">
              <w:t>T1</w:t>
            </w:r>
          </w:p>
        </w:tc>
        <w:tc>
          <w:tcPr>
            <w:tcW w:w="995" w:type="pct"/>
            <w:tcBorders>
              <w:top w:val="nil"/>
              <w:left w:val="nil"/>
              <w:bottom w:val="nil"/>
              <w:right w:val="nil"/>
            </w:tcBorders>
            <w:shd w:val="clear" w:color="auto" w:fill="auto"/>
            <w:noWrap/>
            <w:hideMark/>
          </w:tcPr>
          <w:p w14:paraId="25029E83" w14:textId="77777777" w:rsidR="00C50188" w:rsidRPr="00C50188" w:rsidRDefault="00C50188" w:rsidP="00AF164C">
            <w:pPr>
              <w:jc w:val="center"/>
            </w:pPr>
            <w:r w:rsidRPr="00C50188">
              <w:t>T3</w:t>
            </w:r>
          </w:p>
        </w:tc>
        <w:tc>
          <w:tcPr>
            <w:tcW w:w="995" w:type="pct"/>
            <w:tcBorders>
              <w:top w:val="nil"/>
              <w:left w:val="nil"/>
              <w:bottom w:val="nil"/>
              <w:right w:val="nil"/>
            </w:tcBorders>
            <w:shd w:val="clear" w:color="auto" w:fill="auto"/>
            <w:noWrap/>
            <w:hideMark/>
          </w:tcPr>
          <w:p w14:paraId="7087CFE5" w14:textId="77777777" w:rsidR="00C50188" w:rsidRPr="00C50188" w:rsidRDefault="00C50188" w:rsidP="00AF164C">
            <w:pPr>
              <w:jc w:val="center"/>
            </w:pPr>
            <w:r w:rsidRPr="00C50188">
              <w:t>-0.28</w:t>
            </w:r>
          </w:p>
        </w:tc>
        <w:tc>
          <w:tcPr>
            <w:tcW w:w="995" w:type="pct"/>
            <w:tcBorders>
              <w:top w:val="nil"/>
              <w:left w:val="nil"/>
              <w:bottom w:val="nil"/>
              <w:right w:val="nil"/>
            </w:tcBorders>
            <w:shd w:val="clear" w:color="auto" w:fill="auto"/>
            <w:noWrap/>
            <w:hideMark/>
          </w:tcPr>
          <w:p w14:paraId="253F68E6" w14:textId="77777777" w:rsidR="00C50188" w:rsidRPr="00C50188" w:rsidRDefault="00C50188" w:rsidP="00AF164C">
            <w:pPr>
              <w:jc w:val="center"/>
            </w:pPr>
            <w:r w:rsidRPr="00C50188">
              <w:t>0.37</w:t>
            </w:r>
          </w:p>
        </w:tc>
        <w:tc>
          <w:tcPr>
            <w:tcW w:w="995" w:type="pct"/>
            <w:tcBorders>
              <w:top w:val="nil"/>
              <w:left w:val="nil"/>
              <w:bottom w:val="nil"/>
              <w:right w:val="single" w:sz="4" w:space="0" w:color="auto"/>
            </w:tcBorders>
            <w:shd w:val="clear" w:color="auto" w:fill="auto"/>
            <w:noWrap/>
          </w:tcPr>
          <w:p w14:paraId="0CA7F7D4" w14:textId="23F892B9" w:rsidR="00C50188" w:rsidRPr="00C50188" w:rsidRDefault="005F7B9C" w:rsidP="00AF164C">
            <w:pPr>
              <w:jc w:val="center"/>
            </w:pPr>
            <w:r>
              <w:t>≠</w:t>
            </w:r>
          </w:p>
        </w:tc>
      </w:tr>
      <w:tr w:rsidR="00C50188" w:rsidRPr="00C50188" w14:paraId="47A1D024" w14:textId="77777777" w:rsidTr="00AF164C">
        <w:trPr>
          <w:trHeight w:val="288"/>
          <w:jc w:val="center"/>
        </w:trPr>
        <w:tc>
          <w:tcPr>
            <w:tcW w:w="1019" w:type="pct"/>
            <w:tcBorders>
              <w:top w:val="nil"/>
              <w:left w:val="single" w:sz="4" w:space="0" w:color="auto"/>
              <w:bottom w:val="single" w:sz="4" w:space="0" w:color="auto"/>
              <w:right w:val="nil"/>
            </w:tcBorders>
            <w:shd w:val="clear" w:color="auto" w:fill="auto"/>
            <w:noWrap/>
            <w:hideMark/>
          </w:tcPr>
          <w:p w14:paraId="50B1BF28" w14:textId="77777777" w:rsidR="00C50188" w:rsidRPr="00C50188" w:rsidRDefault="00C50188" w:rsidP="00C50188">
            <w:pPr>
              <w:jc w:val="both"/>
            </w:pPr>
            <w:r w:rsidRPr="00C50188">
              <w:t>T2</w:t>
            </w:r>
          </w:p>
        </w:tc>
        <w:tc>
          <w:tcPr>
            <w:tcW w:w="995" w:type="pct"/>
            <w:tcBorders>
              <w:top w:val="nil"/>
              <w:left w:val="nil"/>
              <w:bottom w:val="single" w:sz="4" w:space="0" w:color="auto"/>
              <w:right w:val="nil"/>
            </w:tcBorders>
            <w:shd w:val="clear" w:color="auto" w:fill="auto"/>
            <w:noWrap/>
            <w:hideMark/>
          </w:tcPr>
          <w:p w14:paraId="4DFF47BC" w14:textId="77777777" w:rsidR="00C50188" w:rsidRPr="00C50188" w:rsidRDefault="00C50188" w:rsidP="00AF164C">
            <w:pPr>
              <w:jc w:val="center"/>
            </w:pPr>
            <w:r w:rsidRPr="00C50188">
              <w:t>T3</w:t>
            </w:r>
          </w:p>
        </w:tc>
        <w:tc>
          <w:tcPr>
            <w:tcW w:w="995" w:type="pct"/>
            <w:tcBorders>
              <w:top w:val="nil"/>
              <w:left w:val="nil"/>
              <w:bottom w:val="single" w:sz="4" w:space="0" w:color="auto"/>
              <w:right w:val="nil"/>
            </w:tcBorders>
            <w:shd w:val="clear" w:color="auto" w:fill="auto"/>
            <w:noWrap/>
            <w:hideMark/>
          </w:tcPr>
          <w:p w14:paraId="556FC7D8" w14:textId="77777777" w:rsidR="00C50188" w:rsidRPr="00C50188" w:rsidRDefault="00C50188" w:rsidP="00AF164C">
            <w:pPr>
              <w:jc w:val="center"/>
            </w:pPr>
            <w:r w:rsidRPr="00C50188">
              <w:t>-0.49</w:t>
            </w:r>
          </w:p>
        </w:tc>
        <w:tc>
          <w:tcPr>
            <w:tcW w:w="995" w:type="pct"/>
            <w:tcBorders>
              <w:top w:val="nil"/>
              <w:left w:val="nil"/>
              <w:bottom w:val="single" w:sz="4" w:space="0" w:color="auto"/>
              <w:right w:val="nil"/>
            </w:tcBorders>
            <w:shd w:val="clear" w:color="auto" w:fill="auto"/>
            <w:noWrap/>
            <w:hideMark/>
          </w:tcPr>
          <w:p w14:paraId="3C528D6C" w14:textId="77777777" w:rsidR="00C50188" w:rsidRPr="00C50188" w:rsidRDefault="00C50188" w:rsidP="00AF164C">
            <w:pPr>
              <w:jc w:val="center"/>
            </w:pPr>
            <w:r w:rsidRPr="00C50188">
              <w:t>0.16</w:t>
            </w:r>
          </w:p>
        </w:tc>
        <w:tc>
          <w:tcPr>
            <w:tcW w:w="995" w:type="pct"/>
            <w:tcBorders>
              <w:top w:val="nil"/>
              <w:left w:val="nil"/>
              <w:bottom w:val="single" w:sz="4" w:space="0" w:color="auto"/>
              <w:right w:val="single" w:sz="4" w:space="0" w:color="auto"/>
            </w:tcBorders>
            <w:shd w:val="clear" w:color="auto" w:fill="auto"/>
            <w:noWrap/>
          </w:tcPr>
          <w:p w14:paraId="46084DE9" w14:textId="298DC0D7" w:rsidR="00C50188" w:rsidRPr="00C50188" w:rsidRDefault="005F7B9C" w:rsidP="00AF164C">
            <w:pPr>
              <w:jc w:val="center"/>
            </w:pPr>
            <w:r>
              <w:t>≠</w:t>
            </w:r>
          </w:p>
        </w:tc>
      </w:tr>
    </w:tbl>
    <w:p w14:paraId="2D4252B1" w14:textId="7ADE9B22" w:rsidR="009777D0" w:rsidRDefault="009777D0" w:rsidP="005B21A8">
      <w:pPr>
        <w:spacing w:line="360" w:lineRule="auto"/>
        <w:jc w:val="center"/>
        <w:rPr>
          <w:lang w:val="es-419"/>
        </w:rPr>
      </w:pPr>
      <w:r w:rsidRPr="009777D0">
        <w:rPr>
          <w:lang w:val="es-419"/>
        </w:rPr>
        <w:t>GL=Grados de libertad; S</w:t>
      </w:r>
      <w:r>
        <w:rPr>
          <w:lang w:val="es-419"/>
        </w:rPr>
        <w:t xml:space="preserve">C=Suma de cuadrados; CM=Cuadrados medios; F=Prueba de Fisher; </w:t>
      </w:r>
      <w:r w:rsidRPr="009777D0">
        <w:rPr>
          <w:lang w:val="es-419"/>
        </w:rPr>
        <w:t>CAB=Cantidad de aparición de brotes;</w:t>
      </w:r>
      <w:r>
        <w:rPr>
          <w:lang w:val="es-419"/>
        </w:rPr>
        <w:t xml:space="preserve"> </w:t>
      </w:r>
      <w:r w:rsidRPr="009777D0">
        <w:rPr>
          <w:lang w:val="es-419"/>
        </w:rPr>
        <w:t>CH=Cantidad de hojas; AB=Altura del brote en centímetros; LH=Longitud de hojas en centímetros; T1= 83 % jal, 2.23 gr*cm</w:t>
      </w:r>
      <w:r w:rsidRPr="009777D0">
        <w:rPr>
          <w:vertAlign w:val="superscript"/>
          <w:lang w:val="es-419"/>
        </w:rPr>
        <w:t>-3</w:t>
      </w:r>
      <w:r w:rsidRPr="009777D0">
        <w:rPr>
          <w:lang w:val="es-419"/>
        </w:rPr>
        <w:t xml:space="preserve"> </w:t>
      </w:r>
      <w:r>
        <w:sym w:font="Symbol" w:char="F072"/>
      </w:r>
      <w:r w:rsidRPr="009777D0">
        <w:rPr>
          <w:lang w:val="es-419"/>
        </w:rPr>
        <w:t>, 2.09 CE, 7.79 pH; T2=76 % jal, 2.05 gr*cm</w:t>
      </w:r>
      <w:r w:rsidRPr="009777D0">
        <w:rPr>
          <w:vertAlign w:val="superscript"/>
          <w:lang w:val="es-419"/>
        </w:rPr>
        <w:t>-3</w:t>
      </w:r>
      <w:r w:rsidRPr="009777D0">
        <w:rPr>
          <w:lang w:val="es-419"/>
        </w:rPr>
        <w:t xml:space="preserve"> </w:t>
      </w:r>
      <w:r>
        <w:sym w:font="Symbol" w:char="F072"/>
      </w:r>
      <w:r w:rsidRPr="009777D0">
        <w:rPr>
          <w:lang w:val="es-419"/>
        </w:rPr>
        <w:t>, 1.98 CE, 7.84 pH; T3= 73 % jal, 1.96 gr*cm</w:t>
      </w:r>
      <w:r w:rsidRPr="009777D0">
        <w:rPr>
          <w:vertAlign w:val="superscript"/>
          <w:lang w:val="es-419"/>
        </w:rPr>
        <w:t>-3</w:t>
      </w:r>
      <w:r w:rsidRPr="009777D0">
        <w:rPr>
          <w:lang w:val="es-419"/>
        </w:rPr>
        <w:t xml:space="preserve"> </w:t>
      </w:r>
      <w:r>
        <w:sym w:font="Symbol" w:char="F072"/>
      </w:r>
      <w:r w:rsidRPr="009777D0">
        <w:rPr>
          <w:lang w:val="es-419"/>
        </w:rPr>
        <w:t>, 2.27 CE, 7.76 pH; T4=66 % jal, 1.78 gr*cm</w:t>
      </w:r>
      <w:r w:rsidRPr="009777D0">
        <w:rPr>
          <w:vertAlign w:val="superscript"/>
          <w:lang w:val="es-419"/>
        </w:rPr>
        <w:t>-3</w:t>
      </w:r>
      <w:r w:rsidRPr="009777D0">
        <w:rPr>
          <w:lang w:val="es-419"/>
        </w:rPr>
        <w:t xml:space="preserve"> </w:t>
      </w:r>
      <w:r>
        <w:sym w:font="Symbol" w:char="F072"/>
      </w:r>
      <w:r w:rsidRPr="009777D0">
        <w:rPr>
          <w:lang w:val="es-419"/>
        </w:rPr>
        <w:t>, 2.14 CE, 7.76 pH</w:t>
      </w:r>
    </w:p>
    <w:p w14:paraId="36C31767" w14:textId="160BB8D5" w:rsidR="00AF164C" w:rsidRPr="005B21A8" w:rsidRDefault="00AF164C" w:rsidP="005B21A8">
      <w:pPr>
        <w:spacing w:line="360" w:lineRule="auto"/>
        <w:jc w:val="center"/>
        <w:rPr>
          <w:lang w:val="es-MX"/>
        </w:rPr>
      </w:pPr>
      <w:r w:rsidRPr="005B21A8">
        <w:rPr>
          <w:lang w:val="es-MX"/>
        </w:rPr>
        <w:t>t</w:t>
      </w:r>
      <w:r w:rsidRPr="005B21A8">
        <w:rPr>
          <w:vertAlign w:val="subscript"/>
          <w:lang w:val="es-MX"/>
        </w:rPr>
        <w:t>0.0543</w:t>
      </w:r>
      <w:r w:rsidRPr="005B21A8">
        <w:rPr>
          <w:lang w:val="es-MX"/>
        </w:rPr>
        <w:t>=1.682</w:t>
      </w:r>
    </w:p>
    <w:p w14:paraId="4F9296FD" w14:textId="45B741C0" w:rsidR="00AF164C" w:rsidRPr="005B21A8" w:rsidRDefault="00AF164C" w:rsidP="005B21A8">
      <w:pPr>
        <w:spacing w:line="360" w:lineRule="auto"/>
        <w:jc w:val="center"/>
        <w:rPr>
          <w:lang w:val="es-MX"/>
        </w:rPr>
      </w:pPr>
      <w:r w:rsidRPr="005B21A8">
        <w:rPr>
          <w:lang w:val="es-MX"/>
        </w:rPr>
        <w:t>* Significante</w:t>
      </w:r>
    </w:p>
    <w:p w14:paraId="756595DE" w14:textId="4189691F" w:rsidR="00AF164C" w:rsidRPr="00BF4603" w:rsidRDefault="00AF164C" w:rsidP="005B21A8">
      <w:pPr>
        <w:spacing w:line="360" w:lineRule="auto"/>
        <w:jc w:val="center"/>
        <w:rPr>
          <w:lang w:val="es-419"/>
        </w:rPr>
      </w:pPr>
      <w:r w:rsidRPr="00BF4603">
        <w:rPr>
          <w:lang w:val="es-419"/>
        </w:rPr>
        <w:lastRenderedPageBreak/>
        <w:t>Fuente: Elaboración Propia, 2021</w:t>
      </w:r>
    </w:p>
    <w:p w14:paraId="41D1F3DF" w14:textId="168FBA67" w:rsidR="009D55A7" w:rsidRDefault="009D55A7" w:rsidP="005B21A8">
      <w:pPr>
        <w:spacing w:line="360" w:lineRule="auto"/>
        <w:ind w:firstLine="708"/>
        <w:jc w:val="both"/>
        <w:rPr>
          <w:lang w:val="es-419"/>
        </w:rPr>
      </w:pPr>
      <w:r w:rsidRPr="00BF4603">
        <w:rPr>
          <w:lang w:val="es-419"/>
        </w:rPr>
        <w:t>Cuando el análisis de correlación fue realizado entre tratamientos analizando los datos de registro, se obtuvieron los valores mostrados en la Tabla 7.</w:t>
      </w:r>
    </w:p>
    <w:p w14:paraId="22EEB98B" w14:textId="77777777" w:rsidR="005B21A8" w:rsidRPr="00BF4603" w:rsidRDefault="005B21A8" w:rsidP="005B21A8">
      <w:pPr>
        <w:spacing w:line="360" w:lineRule="auto"/>
        <w:ind w:firstLine="708"/>
        <w:jc w:val="both"/>
        <w:rPr>
          <w:lang w:val="es-419"/>
        </w:rPr>
      </w:pPr>
    </w:p>
    <w:p w14:paraId="46D2E5D8" w14:textId="77777777" w:rsidR="009D55A7" w:rsidRPr="00C50188" w:rsidRDefault="009D55A7" w:rsidP="009D55A7">
      <w:pPr>
        <w:jc w:val="center"/>
      </w:pPr>
      <w:proofErr w:type="spellStart"/>
      <w:r w:rsidRPr="00F77878">
        <w:rPr>
          <w:b/>
          <w:bCs/>
        </w:rPr>
        <w:t>Tabla</w:t>
      </w:r>
      <w:proofErr w:type="spellEnd"/>
      <w:r w:rsidRPr="00F77878">
        <w:rPr>
          <w:b/>
          <w:bCs/>
        </w:rPr>
        <w:t xml:space="preserve"> 7</w:t>
      </w:r>
      <w:r w:rsidRPr="00C50188">
        <w:t xml:space="preserve">: </w:t>
      </w:r>
      <w:proofErr w:type="spellStart"/>
      <w:r w:rsidRPr="00C50188">
        <w:t>Análisis</w:t>
      </w:r>
      <w:proofErr w:type="spellEnd"/>
      <w:r w:rsidRPr="00C50188">
        <w:t xml:space="preserve"> de Correlación</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804"/>
        <w:gridCol w:w="804"/>
        <w:gridCol w:w="803"/>
        <w:gridCol w:w="803"/>
        <w:gridCol w:w="803"/>
        <w:gridCol w:w="803"/>
        <w:gridCol w:w="803"/>
        <w:gridCol w:w="803"/>
        <w:gridCol w:w="803"/>
        <w:gridCol w:w="795"/>
      </w:tblGrid>
      <w:tr w:rsidR="009227B6" w:rsidRPr="009227B6" w14:paraId="42EB49C1" w14:textId="77777777" w:rsidTr="00D76EC1">
        <w:trPr>
          <w:trHeight w:val="288"/>
        </w:trPr>
        <w:tc>
          <w:tcPr>
            <w:tcW w:w="455" w:type="pct"/>
            <w:tcBorders>
              <w:top w:val="single" w:sz="4" w:space="0" w:color="auto"/>
              <w:bottom w:val="single" w:sz="4" w:space="0" w:color="auto"/>
            </w:tcBorders>
            <w:shd w:val="clear" w:color="auto" w:fill="auto"/>
            <w:noWrap/>
            <w:vAlign w:val="bottom"/>
            <w:hideMark/>
          </w:tcPr>
          <w:p w14:paraId="31E2905D" w14:textId="77777777" w:rsidR="009227B6" w:rsidRPr="009227B6" w:rsidRDefault="009227B6">
            <w:r w:rsidRPr="009227B6">
              <w:t> </w:t>
            </w:r>
          </w:p>
        </w:tc>
        <w:tc>
          <w:tcPr>
            <w:tcW w:w="455" w:type="pct"/>
            <w:tcBorders>
              <w:top w:val="single" w:sz="4" w:space="0" w:color="auto"/>
              <w:bottom w:val="single" w:sz="4" w:space="0" w:color="auto"/>
            </w:tcBorders>
            <w:shd w:val="clear" w:color="auto" w:fill="auto"/>
            <w:vAlign w:val="center"/>
            <w:hideMark/>
          </w:tcPr>
          <w:p w14:paraId="5BC90E62" w14:textId="77777777" w:rsidR="009227B6" w:rsidRPr="009227B6" w:rsidRDefault="009227B6" w:rsidP="009227B6">
            <w:pPr>
              <w:jc w:val="center"/>
            </w:pPr>
            <w:r w:rsidRPr="009227B6">
              <w:t>CB</w:t>
            </w:r>
          </w:p>
        </w:tc>
        <w:tc>
          <w:tcPr>
            <w:tcW w:w="455" w:type="pct"/>
            <w:tcBorders>
              <w:top w:val="single" w:sz="4" w:space="0" w:color="auto"/>
              <w:bottom w:val="single" w:sz="4" w:space="0" w:color="auto"/>
            </w:tcBorders>
            <w:shd w:val="clear" w:color="auto" w:fill="auto"/>
            <w:noWrap/>
            <w:vAlign w:val="bottom"/>
            <w:hideMark/>
          </w:tcPr>
          <w:p w14:paraId="4B39B432" w14:textId="518C9356"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7FC2BFE5" w14:textId="77777777" w:rsidR="009227B6" w:rsidRPr="009227B6" w:rsidRDefault="009227B6" w:rsidP="009227B6">
            <w:pPr>
              <w:jc w:val="center"/>
            </w:pPr>
            <w:r w:rsidRPr="009227B6">
              <w:t>CH</w:t>
            </w:r>
          </w:p>
        </w:tc>
        <w:tc>
          <w:tcPr>
            <w:tcW w:w="455" w:type="pct"/>
            <w:tcBorders>
              <w:top w:val="single" w:sz="4" w:space="0" w:color="auto"/>
              <w:bottom w:val="single" w:sz="4" w:space="0" w:color="auto"/>
            </w:tcBorders>
            <w:shd w:val="clear" w:color="auto" w:fill="auto"/>
            <w:noWrap/>
            <w:vAlign w:val="bottom"/>
            <w:hideMark/>
          </w:tcPr>
          <w:p w14:paraId="6D48BD4F" w14:textId="18FD1D1E"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1A936920" w14:textId="77777777" w:rsidR="009227B6" w:rsidRPr="009227B6" w:rsidRDefault="009227B6" w:rsidP="009227B6">
            <w:pPr>
              <w:jc w:val="center"/>
            </w:pPr>
            <w:r w:rsidRPr="009227B6">
              <w:t>AB</w:t>
            </w:r>
          </w:p>
        </w:tc>
        <w:tc>
          <w:tcPr>
            <w:tcW w:w="455" w:type="pct"/>
            <w:tcBorders>
              <w:top w:val="single" w:sz="4" w:space="0" w:color="auto"/>
              <w:bottom w:val="single" w:sz="4" w:space="0" w:color="auto"/>
            </w:tcBorders>
            <w:shd w:val="clear" w:color="auto" w:fill="auto"/>
            <w:noWrap/>
            <w:vAlign w:val="bottom"/>
            <w:hideMark/>
          </w:tcPr>
          <w:p w14:paraId="2434B9FB" w14:textId="4152B754"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15CFA55B" w14:textId="77777777" w:rsidR="009227B6" w:rsidRPr="009227B6" w:rsidRDefault="009227B6" w:rsidP="009227B6">
            <w:pPr>
              <w:jc w:val="center"/>
            </w:pPr>
            <w:r w:rsidRPr="009227B6">
              <w:t>LH</w:t>
            </w:r>
          </w:p>
        </w:tc>
        <w:tc>
          <w:tcPr>
            <w:tcW w:w="455" w:type="pct"/>
            <w:tcBorders>
              <w:top w:val="single" w:sz="4" w:space="0" w:color="auto"/>
              <w:bottom w:val="single" w:sz="4" w:space="0" w:color="auto"/>
            </w:tcBorders>
            <w:shd w:val="clear" w:color="auto" w:fill="auto"/>
            <w:noWrap/>
            <w:vAlign w:val="bottom"/>
            <w:hideMark/>
          </w:tcPr>
          <w:p w14:paraId="5A075F5C" w14:textId="1D4FEA88"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67E23B50" w14:textId="77777777" w:rsidR="009227B6" w:rsidRPr="009227B6" w:rsidRDefault="009227B6" w:rsidP="009227B6">
            <w:pPr>
              <w:jc w:val="center"/>
            </w:pPr>
            <w:r w:rsidRPr="009227B6">
              <w:t>CAB</w:t>
            </w:r>
          </w:p>
        </w:tc>
        <w:tc>
          <w:tcPr>
            <w:tcW w:w="450" w:type="pct"/>
            <w:tcBorders>
              <w:top w:val="single" w:sz="4" w:space="0" w:color="auto"/>
              <w:bottom w:val="single" w:sz="4" w:space="0" w:color="auto"/>
            </w:tcBorders>
            <w:shd w:val="clear" w:color="auto" w:fill="auto"/>
            <w:noWrap/>
            <w:vAlign w:val="bottom"/>
            <w:hideMark/>
          </w:tcPr>
          <w:p w14:paraId="6D0A65AB" w14:textId="1DE53528" w:rsidR="009227B6" w:rsidRPr="009227B6" w:rsidRDefault="009227B6" w:rsidP="009227B6">
            <w:pPr>
              <w:jc w:val="center"/>
            </w:pPr>
          </w:p>
        </w:tc>
      </w:tr>
      <w:tr w:rsidR="009227B6" w:rsidRPr="009227B6" w14:paraId="5E5BF403" w14:textId="77777777" w:rsidTr="00D76EC1">
        <w:trPr>
          <w:trHeight w:val="288"/>
        </w:trPr>
        <w:tc>
          <w:tcPr>
            <w:tcW w:w="455" w:type="pct"/>
            <w:tcBorders>
              <w:top w:val="single" w:sz="4" w:space="0" w:color="auto"/>
            </w:tcBorders>
            <w:shd w:val="clear" w:color="auto" w:fill="auto"/>
            <w:vAlign w:val="center"/>
            <w:hideMark/>
          </w:tcPr>
          <w:p w14:paraId="57795C09" w14:textId="77777777" w:rsidR="009227B6" w:rsidRPr="009227B6" w:rsidRDefault="009227B6">
            <w:r w:rsidRPr="009227B6">
              <w:t>T1</w:t>
            </w:r>
          </w:p>
        </w:tc>
        <w:tc>
          <w:tcPr>
            <w:tcW w:w="455" w:type="pct"/>
            <w:tcBorders>
              <w:top w:val="single" w:sz="4" w:space="0" w:color="auto"/>
            </w:tcBorders>
            <w:shd w:val="clear" w:color="auto" w:fill="auto"/>
            <w:vAlign w:val="center"/>
            <w:hideMark/>
          </w:tcPr>
          <w:p w14:paraId="65CCA6D3" w14:textId="77777777" w:rsidR="009227B6" w:rsidRPr="009227B6" w:rsidRDefault="009227B6" w:rsidP="009227B6">
            <w:pPr>
              <w:jc w:val="center"/>
            </w:pPr>
            <w:r w:rsidRPr="009227B6">
              <w:t>r</w:t>
            </w:r>
          </w:p>
        </w:tc>
        <w:tc>
          <w:tcPr>
            <w:tcW w:w="455" w:type="pct"/>
            <w:tcBorders>
              <w:top w:val="single" w:sz="4" w:space="0" w:color="auto"/>
            </w:tcBorders>
            <w:shd w:val="clear" w:color="auto" w:fill="auto"/>
            <w:vAlign w:val="center"/>
            <w:hideMark/>
          </w:tcPr>
          <w:p w14:paraId="7728D985"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752DC098" w14:textId="414A836C" w:rsidR="009227B6" w:rsidRPr="009227B6" w:rsidRDefault="005B21A8" w:rsidP="009227B6">
            <w:pPr>
              <w:jc w:val="center"/>
            </w:pPr>
            <w:r w:rsidRPr="009227B6">
              <w:t>R</w:t>
            </w:r>
          </w:p>
        </w:tc>
        <w:tc>
          <w:tcPr>
            <w:tcW w:w="455" w:type="pct"/>
            <w:tcBorders>
              <w:top w:val="single" w:sz="4" w:space="0" w:color="auto"/>
            </w:tcBorders>
            <w:shd w:val="clear" w:color="auto" w:fill="auto"/>
            <w:vAlign w:val="center"/>
            <w:hideMark/>
          </w:tcPr>
          <w:p w14:paraId="77427C07"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4C9D1FA3" w14:textId="77777777" w:rsidR="009227B6" w:rsidRPr="009227B6" w:rsidRDefault="009227B6" w:rsidP="009227B6">
            <w:pPr>
              <w:jc w:val="center"/>
            </w:pPr>
            <w:r w:rsidRPr="009227B6">
              <w:t>r</w:t>
            </w:r>
          </w:p>
        </w:tc>
        <w:tc>
          <w:tcPr>
            <w:tcW w:w="455" w:type="pct"/>
            <w:tcBorders>
              <w:top w:val="single" w:sz="4" w:space="0" w:color="auto"/>
            </w:tcBorders>
            <w:shd w:val="clear" w:color="auto" w:fill="auto"/>
            <w:vAlign w:val="center"/>
            <w:hideMark/>
          </w:tcPr>
          <w:p w14:paraId="42D39D3C"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4B43EBA6" w14:textId="77777777" w:rsidR="009227B6" w:rsidRPr="009227B6" w:rsidRDefault="009227B6" w:rsidP="009227B6">
            <w:pPr>
              <w:jc w:val="center"/>
            </w:pPr>
            <w:r w:rsidRPr="009227B6">
              <w:t>r</w:t>
            </w:r>
          </w:p>
        </w:tc>
        <w:tc>
          <w:tcPr>
            <w:tcW w:w="455" w:type="pct"/>
            <w:tcBorders>
              <w:top w:val="single" w:sz="4" w:space="0" w:color="auto"/>
            </w:tcBorders>
            <w:shd w:val="clear" w:color="auto" w:fill="auto"/>
            <w:vAlign w:val="center"/>
            <w:hideMark/>
          </w:tcPr>
          <w:p w14:paraId="07B42BE1"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260411C9" w14:textId="77777777" w:rsidR="009227B6" w:rsidRPr="009227B6" w:rsidRDefault="009227B6" w:rsidP="009227B6">
            <w:pPr>
              <w:jc w:val="center"/>
            </w:pPr>
            <w:r w:rsidRPr="009227B6">
              <w:t>r</w:t>
            </w:r>
          </w:p>
        </w:tc>
        <w:tc>
          <w:tcPr>
            <w:tcW w:w="450" w:type="pct"/>
            <w:tcBorders>
              <w:top w:val="single" w:sz="4" w:space="0" w:color="auto"/>
            </w:tcBorders>
            <w:shd w:val="clear" w:color="auto" w:fill="auto"/>
            <w:vAlign w:val="center"/>
            <w:hideMark/>
          </w:tcPr>
          <w:p w14:paraId="052B0498" w14:textId="77777777" w:rsidR="009227B6" w:rsidRPr="009227B6" w:rsidRDefault="009227B6" w:rsidP="009227B6">
            <w:pPr>
              <w:jc w:val="center"/>
            </w:pPr>
            <w:r w:rsidRPr="009227B6">
              <w:t>2-t</w:t>
            </w:r>
          </w:p>
        </w:tc>
      </w:tr>
      <w:tr w:rsidR="009227B6" w:rsidRPr="009227B6" w14:paraId="6F1C6867" w14:textId="77777777" w:rsidTr="00D76EC1">
        <w:trPr>
          <w:trHeight w:val="288"/>
        </w:trPr>
        <w:tc>
          <w:tcPr>
            <w:tcW w:w="455" w:type="pct"/>
            <w:shd w:val="clear" w:color="auto" w:fill="auto"/>
            <w:vAlign w:val="center"/>
            <w:hideMark/>
          </w:tcPr>
          <w:p w14:paraId="08AD0B28" w14:textId="77777777" w:rsidR="009227B6" w:rsidRPr="009227B6" w:rsidRDefault="009227B6" w:rsidP="009227B6">
            <w:r w:rsidRPr="009227B6">
              <w:t>CH</w:t>
            </w:r>
          </w:p>
        </w:tc>
        <w:tc>
          <w:tcPr>
            <w:tcW w:w="455" w:type="pct"/>
            <w:shd w:val="clear" w:color="auto" w:fill="auto"/>
            <w:vAlign w:val="center"/>
            <w:hideMark/>
          </w:tcPr>
          <w:p w14:paraId="7191BEDE" w14:textId="77777777" w:rsidR="009227B6" w:rsidRPr="009227B6" w:rsidRDefault="009227B6" w:rsidP="009227B6">
            <w:pPr>
              <w:jc w:val="center"/>
            </w:pPr>
            <w:r w:rsidRPr="009227B6">
              <w:t>-0.04</w:t>
            </w:r>
          </w:p>
        </w:tc>
        <w:tc>
          <w:tcPr>
            <w:tcW w:w="455" w:type="pct"/>
            <w:shd w:val="clear" w:color="auto" w:fill="auto"/>
            <w:vAlign w:val="center"/>
            <w:hideMark/>
          </w:tcPr>
          <w:p w14:paraId="7F543378" w14:textId="77777777" w:rsidR="009227B6" w:rsidRPr="009227B6" w:rsidRDefault="009227B6" w:rsidP="009227B6">
            <w:pPr>
              <w:jc w:val="center"/>
            </w:pPr>
            <w:r w:rsidRPr="009227B6">
              <w:t>0.89</w:t>
            </w:r>
          </w:p>
        </w:tc>
        <w:tc>
          <w:tcPr>
            <w:tcW w:w="455" w:type="pct"/>
            <w:shd w:val="clear" w:color="auto" w:fill="auto"/>
            <w:hideMark/>
          </w:tcPr>
          <w:p w14:paraId="5C47874A" w14:textId="77777777" w:rsidR="009227B6" w:rsidRPr="009227B6" w:rsidRDefault="009227B6" w:rsidP="009227B6">
            <w:pPr>
              <w:jc w:val="center"/>
            </w:pPr>
          </w:p>
        </w:tc>
        <w:tc>
          <w:tcPr>
            <w:tcW w:w="455" w:type="pct"/>
            <w:shd w:val="clear" w:color="auto" w:fill="auto"/>
            <w:hideMark/>
          </w:tcPr>
          <w:p w14:paraId="3F1E1619" w14:textId="77777777" w:rsidR="009227B6" w:rsidRPr="009227B6" w:rsidRDefault="009227B6" w:rsidP="009227B6">
            <w:pPr>
              <w:jc w:val="center"/>
            </w:pPr>
          </w:p>
        </w:tc>
        <w:tc>
          <w:tcPr>
            <w:tcW w:w="455" w:type="pct"/>
            <w:shd w:val="clear" w:color="auto" w:fill="auto"/>
            <w:hideMark/>
          </w:tcPr>
          <w:p w14:paraId="00428C5C" w14:textId="77777777" w:rsidR="009227B6" w:rsidRPr="009227B6" w:rsidRDefault="009227B6" w:rsidP="009227B6">
            <w:pPr>
              <w:jc w:val="center"/>
            </w:pPr>
          </w:p>
        </w:tc>
        <w:tc>
          <w:tcPr>
            <w:tcW w:w="455" w:type="pct"/>
            <w:shd w:val="clear" w:color="auto" w:fill="auto"/>
            <w:hideMark/>
          </w:tcPr>
          <w:p w14:paraId="140F5FA5" w14:textId="77777777" w:rsidR="009227B6" w:rsidRPr="009227B6" w:rsidRDefault="009227B6" w:rsidP="009227B6">
            <w:pPr>
              <w:jc w:val="center"/>
            </w:pPr>
          </w:p>
        </w:tc>
        <w:tc>
          <w:tcPr>
            <w:tcW w:w="455" w:type="pct"/>
            <w:shd w:val="clear" w:color="auto" w:fill="auto"/>
            <w:hideMark/>
          </w:tcPr>
          <w:p w14:paraId="2CD4F597" w14:textId="77777777" w:rsidR="009227B6" w:rsidRPr="009227B6" w:rsidRDefault="009227B6" w:rsidP="009227B6">
            <w:pPr>
              <w:jc w:val="center"/>
            </w:pPr>
          </w:p>
        </w:tc>
        <w:tc>
          <w:tcPr>
            <w:tcW w:w="455" w:type="pct"/>
            <w:shd w:val="clear" w:color="auto" w:fill="auto"/>
            <w:hideMark/>
          </w:tcPr>
          <w:p w14:paraId="00DE6FFE" w14:textId="77777777" w:rsidR="009227B6" w:rsidRPr="009227B6" w:rsidRDefault="009227B6" w:rsidP="009227B6">
            <w:pPr>
              <w:jc w:val="center"/>
            </w:pPr>
          </w:p>
        </w:tc>
        <w:tc>
          <w:tcPr>
            <w:tcW w:w="455" w:type="pct"/>
            <w:shd w:val="clear" w:color="auto" w:fill="auto"/>
            <w:hideMark/>
          </w:tcPr>
          <w:p w14:paraId="707B098F" w14:textId="77777777" w:rsidR="009227B6" w:rsidRPr="009227B6" w:rsidRDefault="009227B6" w:rsidP="009227B6">
            <w:pPr>
              <w:jc w:val="center"/>
            </w:pPr>
          </w:p>
        </w:tc>
        <w:tc>
          <w:tcPr>
            <w:tcW w:w="450" w:type="pct"/>
            <w:shd w:val="clear" w:color="auto" w:fill="auto"/>
            <w:hideMark/>
          </w:tcPr>
          <w:p w14:paraId="3B2AAC2F" w14:textId="7D34F986" w:rsidR="009227B6" w:rsidRPr="009227B6" w:rsidRDefault="009227B6" w:rsidP="009227B6">
            <w:pPr>
              <w:jc w:val="center"/>
            </w:pPr>
          </w:p>
        </w:tc>
      </w:tr>
      <w:tr w:rsidR="009227B6" w:rsidRPr="009227B6" w14:paraId="794B0701" w14:textId="77777777" w:rsidTr="00D76EC1">
        <w:trPr>
          <w:trHeight w:val="288"/>
        </w:trPr>
        <w:tc>
          <w:tcPr>
            <w:tcW w:w="455" w:type="pct"/>
            <w:shd w:val="clear" w:color="auto" w:fill="auto"/>
            <w:vAlign w:val="center"/>
            <w:hideMark/>
          </w:tcPr>
          <w:p w14:paraId="2FDE35C0" w14:textId="77777777" w:rsidR="009227B6" w:rsidRPr="009227B6" w:rsidRDefault="009227B6" w:rsidP="009227B6">
            <w:r w:rsidRPr="009227B6">
              <w:t>AB</w:t>
            </w:r>
          </w:p>
        </w:tc>
        <w:tc>
          <w:tcPr>
            <w:tcW w:w="455" w:type="pct"/>
            <w:shd w:val="clear" w:color="auto" w:fill="auto"/>
            <w:vAlign w:val="center"/>
            <w:hideMark/>
          </w:tcPr>
          <w:p w14:paraId="7AC0C3D0" w14:textId="77777777" w:rsidR="009227B6" w:rsidRPr="009227B6" w:rsidRDefault="009227B6" w:rsidP="009227B6">
            <w:pPr>
              <w:jc w:val="center"/>
            </w:pPr>
            <w:r w:rsidRPr="009227B6">
              <w:t>-0.23</w:t>
            </w:r>
          </w:p>
        </w:tc>
        <w:tc>
          <w:tcPr>
            <w:tcW w:w="455" w:type="pct"/>
            <w:shd w:val="clear" w:color="auto" w:fill="auto"/>
            <w:vAlign w:val="center"/>
            <w:hideMark/>
          </w:tcPr>
          <w:p w14:paraId="50250430" w14:textId="77777777" w:rsidR="009227B6" w:rsidRPr="009227B6" w:rsidRDefault="009227B6" w:rsidP="009227B6">
            <w:pPr>
              <w:jc w:val="center"/>
            </w:pPr>
            <w:r w:rsidRPr="009227B6">
              <w:t>0.47</w:t>
            </w:r>
          </w:p>
        </w:tc>
        <w:tc>
          <w:tcPr>
            <w:tcW w:w="455" w:type="pct"/>
            <w:shd w:val="clear" w:color="auto" w:fill="auto"/>
            <w:vAlign w:val="center"/>
            <w:hideMark/>
          </w:tcPr>
          <w:p w14:paraId="371E8892" w14:textId="77777777" w:rsidR="009227B6" w:rsidRPr="009227B6" w:rsidRDefault="009227B6" w:rsidP="009227B6">
            <w:pPr>
              <w:jc w:val="center"/>
            </w:pPr>
            <w:r w:rsidRPr="009227B6">
              <w:t>0.73</w:t>
            </w:r>
          </w:p>
        </w:tc>
        <w:tc>
          <w:tcPr>
            <w:tcW w:w="455" w:type="pct"/>
            <w:shd w:val="clear" w:color="auto" w:fill="auto"/>
            <w:vAlign w:val="center"/>
            <w:hideMark/>
          </w:tcPr>
          <w:p w14:paraId="296A086E" w14:textId="77777777" w:rsidR="009227B6" w:rsidRPr="009227B6" w:rsidRDefault="009227B6" w:rsidP="009227B6">
            <w:pPr>
              <w:jc w:val="center"/>
            </w:pPr>
            <w:r w:rsidRPr="009227B6">
              <w:t>0.01</w:t>
            </w:r>
          </w:p>
        </w:tc>
        <w:tc>
          <w:tcPr>
            <w:tcW w:w="455" w:type="pct"/>
            <w:shd w:val="clear" w:color="auto" w:fill="auto"/>
            <w:hideMark/>
          </w:tcPr>
          <w:p w14:paraId="63D2310F" w14:textId="77777777" w:rsidR="009227B6" w:rsidRPr="009227B6" w:rsidRDefault="009227B6" w:rsidP="009227B6">
            <w:pPr>
              <w:jc w:val="center"/>
            </w:pPr>
          </w:p>
        </w:tc>
        <w:tc>
          <w:tcPr>
            <w:tcW w:w="455" w:type="pct"/>
            <w:shd w:val="clear" w:color="auto" w:fill="auto"/>
            <w:hideMark/>
          </w:tcPr>
          <w:p w14:paraId="11B10922" w14:textId="77777777" w:rsidR="009227B6" w:rsidRPr="009227B6" w:rsidRDefault="009227B6" w:rsidP="009227B6">
            <w:pPr>
              <w:jc w:val="center"/>
            </w:pPr>
          </w:p>
        </w:tc>
        <w:tc>
          <w:tcPr>
            <w:tcW w:w="455" w:type="pct"/>
            <w:shd w:val="clear" w:color="auto" w:fill="auto"/>
            <w:hideMark/>
          </w:tcPr>
          <w:p w14:paraId="4FB81A6B" w14:textId="77777777" w:rsidR="009227B6" w:rsidRPr="009227B6" w:rsidRDefault="009227B6" w:rsidP="009227B6">
            <w:pPr>
              <w:jc w:val="center"/>
            </w:pPr>
          </w:p>
        </w:tc>
        <w:tc>
          <w:tcPr>
            <w:tcW w:w="455" w:type="pct"/>
            <w:shd w:val="clear" w:color="auto" w:fill="auto"/>
            <w:hideMark/>
          </w:tcPr>
          <w:p w14:paraId="64DA5622" w14:textId="77777777" w:rsidR="009227B6" w:rsidRPr="009227B6" w:rsidRDefault="009227B6" w:rsidP="009227B6">
            <w:pPr>
              <w:jc w:val="center"/>
            </w:pPr>
          </w:p>
        </w:tc>
        <w:tc>
          <w:tcPr>
            <w:tcW w:w="455" w:type="pct"/>
            <w:shd w:val="clear" w:color="auto" w:fill="auto"/>
            <w:hideMark/>
          </w:tcPr>
          <w:p w14:paraId="27273955" w14:textId="77777777" w:rsidR="009227B6" w:rsidRPr="009227B6" w:rsidRDefault="009227B6" w:rsidP="009227B6">
            <w:pPr>
              <w:jc w:val="center"/>
            </w:pPr>
          </w:p>
        </w:tc>
        <w:tc>
          <w:tcPr>
            <w:tcW w:w="450" w:type="pct"/>
            <w:shd w:val="clear" w:color="auto" w:fill="auto"/>
            <w:hideMark/>
          </w:tcPr>
          <w:p w14:paraId="26CF49B2" w14:textId="74557A25" w:rsidR="009227B6" w:rsidRPr="009227B6" w:rsidRDefault="009227B6" w:rsidP="009227B6">
            <w:pPr>
              <w:jc w:val="center"/>
            </w:pPr>
          </w:p>
        </w:tc>
      </w:tr>
      <w:tr w:rsidR="009227B6" w:rsidRPr="009227B6" w14:paraId="478915D8" w14:textId="77777777" w:rsidTr="00D76EC1">
        <w:trPr>
          <w:trHeight w:val="288"/>
        </w:trPr>
        <w:tc>
          <w:tcPr>
            <w:tcW w:w="455" w:type="pct"/>
            <w:shd w:val="clear" w:color="auto" w:fill="auto"/>
            <w:vAlign w:val="center"/>
            <w:hideMark/>
          </w:tcPr>
          <w:p w14:paraId="4E58AD4B" w14:textId="77777777" w:rsidR="009227B6" w:rsidRPr="009227B6" w:rsidRDefault="009227B6" w:rsidP="009227B6">
            <w:r w:rsidRPr="009227B6">
              <w:t>LH</w:t>
            </w:r>
          </w:p>
        </w:tc>
        <w:tc>
          <w:tcPr>
            <w:tcW w:w="455" w:type="pct"/>
            <w:shd w:val="clear" w:color="auto" w:fill="auto"/>
            <w:vAlign w:val="center"/>
            <w:hideMark/>
          </w:tcPr>
          <w:p w14:paraId="3AFD00DF" w14:textId="77777777" w:rsidR="009227B6" w:rsidRPr="009227B6" w:rsidRDefault="009227B6" w:rsidP="009227B6">
            <w:pPr>
              <w:jc w:val="center"/>
            </w:pPr>
            <w:r w:rsidRPr="009227B6">
              <w:t>0.41</w:t>
            </w:r>
          </w:p>
        </w:tc>
        <w:tc>
          <w:tcPr>
            <w:tcW w:w="455" w:type="pct"/>
            <w:shd w:val="clear" w:color="auto" w:fill="auto"/>
            <w:vAlign w:val="center"/>
            <w:hideMark/>
          </w:tcPr>
          <w:p w14:paraId="171730B3" w14:textId="77777777" w:rsidR="009227B6" w:rsidRPr="009227B6" w:rsidRDefault="009227B6" w:rsidP="009227B6">
            <w:pPr>
              <w:jc w:val="center"/>
            </w:pPr>
            <w:r w:rsidRPr="009227B6">
              <w:t>0.01</w:t>
            </w:r>
          </w:p>
        </w:tc>
        <w:tc>
          <w:tcPr>
            <w:tcW w:w="455" w:type="pct"/>
            <w:shd w:val="clear" w:color="auto" w:fill="auto"/>
            <w:vAlign w:val="center"/>
            <w:hideMark/>
          </w:tcPr>
          <w:p w14:paraId="6FB3F3A7" w14:textId="77777777" w:rsidR="009227B6" w:rsidRPr="009227B6" w:rsidRDefault="009227B6" w:rsidP="009227B6">
            <w:pPr>
              <w:jc w:val="center"/>
            </w:pPr>
            <w:r w:rsidRPr="009227B6">
              <w:t>0.22</w:t>
            </w:r>
          </w:p>
        </w:tc>
        <w:tc>
          <w:tcPr>
            <w:tcW w:w="455" w:type="pct"/>
            <w:shd w:val="clear" w:color="auto" w:fill="auto"/>
            <w:vAlign w:val="center"/>
            <w:hideMark/>
          </w:tcPr>
          <w:p w14:paraId="65974973" w14:textId="77777777" w:rsidR="009227B6" w:rsidRPr="009227B6" w:rsidRDefault="009227B6" w:rsidP="009227B6">
            <w:pPr>
              <w:jc w:val="center"/>
            </w:pPr>
            <w:r w:rsidRPr="009227B6">
              <w:t>0.04</w:t>
            </w:r>
          </w:p>
        </w:tc>
        <w:tc>
          <w:tcPr>
            <w:tcW w:w="455" w:type="pct"/>
            <w:shd w:val="clear" w:color="auto" w:fill="auto"/>
            <w:vAlign w:val="center"/>
            <w:hideMark/>
          </w:tcPr>
          <w:p w14:paraId="77E99D50" w14:textId="77777777" w:rsidR="009227B6" w:rsidRPr="009227B6" w:rsidRDefault="009227B6" w:rsidP="009227B6">
            <w:pPr>
              <w:jc w:val="center"/>
            </w:pPr>
            <w:r w:rsidRPr="009227B6">
              <w:t>-0.14</w:t>
            </w:r>
          </w:p>
        </w:tc>
        <w:tc>
          <w:tcPr>
            <w:tcW w:w="455" w:type="pct"/>
            <w:shd w:val="clear" w:color="auto" w:fill="auto"/>
            <w:vAlign w:val="center"/>
            <w:hideMark/>
          </w:tcPr>
          <w:p w14:paraId="5844EC6A" w14:textId="77777777" w:rsidR="009227B6" w:rsidRPr="009227B6" w:rsidRDefault="009227B6" w:rsidP="009227B6">
            <w:pPr>
              <w:jc w:val="center"/>
            </w:pPr>
            <w:r w:rsidRPr="009227B6">
              <w:t>0.65</w:t>
            </w:r>
          </w:p>
        </w:tc>
        <w:tc>
          <w:tcPr>
            <w:tcW w:w="455" w:type="pct"/>
            <w:shd w:val="clear" w:color="auto" w:fill="auto"/>
            <w:hideMark/>
          </w:tcPr>
          <w:p w14:paraId="672E7D24" w14:textId="77777777" w:rsidR="009227B6" w:rsidRPr="009227B6" w:rsidRDefault="009227B6" w:rsidP="009227B6">
            <w:pPr>
              <w:jc w:val="center"/>
            </w:pPr>
          </w:p>
        </w:tc>
        <w:tc>
          <w:tcPr>
            <w:tcW w:w="455" w:type="pct"/>
            <w:shd w:val="clear" w:color="auto" w:fill="auto"/>
            <w:hideMark/>
          </w:tcPr>
          <w:p w14:paraId="7D83B7B9" w14:textId="77777777" w:rsidR="009227B6" w:rsidRPr="009227B6" w:rsidRDefault="009227B6" w:rsidP="009227B6">
            <w:pPr>
              <w:jc w:val="center"/>
            </w:pPr>
          </w:p>
        </w:tc>
        <w:tc>
          <w:tcPr>
            <w:tcW w:w="455" w:type="pct"/>
            <w:shd w:val="clear" w:color="auto" w:fill="auto"/>
            <w:hideMark/>
          </w:tcPr>
          <w:p w14:paraId="412C38C1" w14:textId="77777777" w:rsidR="009227B6" w:rsidRPr="009227B6" w:rsidRDefault="009227B6" w:rsidP="009227B6">
            <w:pPr>
              <w:jc w:val="center"/>
            </w:pPr>
          </w:p>
        </w:tc>
        <w:tc>
          <w:tcPr>
            <w:tcW w:w="450" w:type="pct"/>
            <w:shd w:val="clear" w:color="auto" w:fill="auto"/>
            <w:hideMark/>
          </w:tcPr>
          <w:p w14:paraId="588A2A64" w14:textId="0E3BD003" w:rsidR="009227B6" w:rsidRPr="009227B6" w:rsidRDefault="009227B6" w:rsidP="009227B6">
            <w:pPr>
              <w:jc w:val="center"/>
            </w:pPr>
          </w:p>
        </w:tc>
      </w:tr>
      <w:tr w:rsidR="009227B6" w:rsidRPr="009227B6" w14:paraId="094952AD" w14:textId="77777777" w:rsidTr="00D76EC1">
        <w:trPr>
          <w:trHeight w:val="288"/>
        </w:trPr>
        <w:tc>
          <w:tcPr>
            <w:tcW w:w="455" w:type="pct"/>
            <w:shd w:val="clear" w:color="auto" w:fill="auto"/>
            <w:vAlign w:val="center"/>
            <w:hideMark/>
          </w:tcPr>
          <w:p w14:paraId="7117DF4D" w14:textId="77777777" w:rsidR="009227B6" w:rsidRPr="009227B6" w:rsidRDefault="009227B6" w:rsidP="009227B6">
            <w:r w:rsidRPr="009227B6">
              <w:t>CAB</w:t>
            </w:r>
          </w:p>
        </w:tc>
        <w:tc>
          <w:tcPr>
            <w:tcW w:w="455" w:type="pct"/>
            <w:shd w:val="clear" w:color="auto" w:fill="auto"/>
            <w:vAlign w:val="center"/>
            <w:hideMark/>
          </w:tcPr>
          <w:p w14:paraId="3BDE7307" w14:textId="77777777" w:rsidR="009227B6" w:rsidRPr="009227B6" w:rsidRDefault="009227B6" w:rsidP="009227B6">
            <w:pPr>
              <w:jc w:val="center"/>
            </w:pPr>
            <w:r w:rsidRPr="009227B6">
              <w:t>0.47</w:t>
            </w:r>
          </w:p>
        </w:tc>
        <w:tc>
          <w:tcPr>
            <w:tcW w:w="455" w:type="pct"/>
            <w:shd w:val="clear" w:color="auto" w:fill="auto"/>
            <w:vAlign w:val="center"/>
            <w:hideMark/>
          </w:tcPr>
          <w:p w14:paraId="5FEF964D" w14:textId="77777777" w:rsidR="009227B6" w:rsidRPr="009227B6" w:rsidRDefault="009227B6" w:rsidP="009227B6">
            <w:pPr>
              <w:jc w:val="center"/>
            </w:pPr>
            <w:r w:rsidRPr="009227B6">
              <w:t>0.01</w:t>
            </w:r>
          </w:p>
        </w:tc>
        <w:tc>
          <w:tcPr>
            <w:tcW w:w="455" w:type="pct"/>
            <w:shd w:val="clear" w:color="auto" w:fill="auto"/>
            <w:vAlign w:val="center"/>
            <w:hideMark/>
          </w:tcPr>
          <w:p w14:paraId="0566021C" w14:textId="77777777" w:rsidR="009227B6" w:rsidRPr="009227B6" w:rsidRDefault="009227B6" w:rsidP="009227B6">
            <w:pPr>
              <w:jc w:val="center"/>
            </w:pPr>
            <w:r w:rsidRPr="009227B6">
              <w:t>-0.45</w:t>
            </w:r>
          </w:p>
        </w:tc>
        <w:tc>
          <w:tcPr>
            <w:tcW w:w="455" w:type="pct"/>
            <w:shd w:val="clear" w:color="auto" w:fill="auto"/>
            <w:vAlign w:val="center"/>
            <w:hideMark/>
          </w:tcPr>
          <w:p w14:paraId="356BA27F" w14:textId="77777777" w:rsidR="009227B6" w:rsidRPr="009227B6" w:rsidRDefault="009227B6" w:rsidP="009227B6">
            <w:pPr>
              <w:jc w:val="center"/>
            </w:pPr>
            <w:r w:rsidRPr="009227B6">
              <w:t>0.15</w:t>
            </w:r>
          </w:p>
        </w:tc>
        <w:tc>
          <w:tcPr>
            <w:tcW w:w="455" w:type="pct"/>
            <w:shd w:val="clear" w:color="auto" w:fill="auto"/>
            <w:vAlign w:val="center"/>
            <w:hideMark/>
          </w:tcPr>
          <w:p w14:paraId="7D45B00F" w14:textId="77777777" w:rsidR="009227B6" w:rsidRPr="009227B6" w:rsidRDefault="009227B6" w:rsidP="009227B6">
            <w:pPr>
              <w:jc w:val="center"/>
            </w:pPr>
            <w:r w:rsidRPr="009227B6">
              <w:t>-0.39</w:t>
            </w:r>
          </w:p>
        </w:tc>
        <w:tc>
          <w:tcPr>
            <w:tcW w:w="455" w:type="pct"/>
            <w:shd w:val="clear" w:color="auto" w:fill="auto"/>
            <w:vAlign w:val="center"/>
            <w:hideMark/>
          </w:tcPr>
          <w:p w14:paraId="75802C0D" w14:textId="77777777" w:rsidR="009227B6" w:rsidRPr="009227B6" w:rsidRDefault="009227B6" w:rsidP="009227B6">
            <w:pPr>
              <w:jc w:val="center"/>
            </w:pPr>
            <w:r w:rsidRPr="009227B6">
              <w:t>0.21</w:t>
            </w:r>
          </w:p>
        </w:tc>
        <w:tc>
          <w:tcPr>
            <w:tcW w:w="455" w:type="pct"/>
            <w:shd w:val="clear" w:color="auto" w:fill="auto"/>
            <w:vAlign w:val="center"/>
            <w:hideMark/>
          </w:tcPr>
          <w:p w14:paraId="5126F19F" w14:textId="77777777" w:rsidR="009227B6" w:rsidRPr="009227B6" w:rsidRDefault="009227B6" w:rsidP="009227B6">
            <w:pPr>
              <w:jc w:val="center"/>
            </w:pPr>
            <w:r w:rsidRPr="009227B6">
              <w:t>0.36</w:t>
            </w:r>
          </w:p>
        </w:tc>
        <w:tc>
          <w:tcPr>
            <w:tcW w:w="455" w:type="pct"/>
            <w:shd w:val="clear" w:color="auto" w:fill="auto"/>
            <w:vAlign w:val="center"/>
            <w:hideMark/>
          </w:tcPr>
          <w:p w14:paraId="5E104730" w14:textId="77777777" w:rsidR="009227B6" w:rsidRPr="009227B6" w:rsidRDefault="009227B6" w:rsidP="009227B6">
            <w:pPr>
              <w:jc w:val="center"/>
            </w:pPr>
            <w:r w:rsidRPr="009227B6">
              <w:t>0.02</w:t>
            </w:r>
          </w:p>
        </w:tc>
        <w:tc>
          <w:tcPr>
            <w:tcW w:w="455" w:type="pct"/>
            <w:shd w:val="clear" w:color="auto" w:fill="auto"/>
            <w:hideMark/>
          </w:tcPr>
          <w:p w14:paraId="3187E1E4" w14:textId="77777777" w:rsidR="009227B6" w:rsidRPr="009227B6" w:rsidRDefault="009227B6" w:rsidP="009227B6">
            <w:pPr>
              <w:jc w:val="center"/>
            </w:pPr>
          </w:p>
        </w:tc>
        <w:tc>
          <w:tcPr>
            <w:tcW w:w="450" w:type="pct"/>
            <w:shd w:val="clear" w:color="auto" w:fill="auto"/>
            <w:hideMark/>
          </w:tcPr>
          <w:p w14:paraId="44F1BF6B" w14:textId="27A7AC3A" w:rsidR="009227B6" w:rsidRPr="009227B6" w:rsidRDefault="009227B6" w:rsidP="009227B6">
            <w:pPr>
              <w:jc w:val="center"/>
            </w:pPr>
          </w:p>
        </w:tc>
      </w:tr>
      <w:tr w:rsidR="009227B6" w:rsidRPr="009227B6" w14:paraId="7C61789C" w14:textId="77777777" w:rsidTr="00D76EC1">
        <w:trPr>
          <w:trHeight w:val="288"/>
        </w:trPr>
        <w:tc>
          <w:tcPr>
            <w:tcW w:w="455" w:type="pct"/>
            <w:tcBorders>
              <w:bottom w:val="single" w:sz="4" w:space="0" w:color="auto"/>
            </w:tcBorders>
            <w:shd w:val="clear" w:color="auto" w:fill="auto"/>
            <w:vAlign w:val="center"/>
            <w:hideMark/>
          </w:tcPr>
          <w:p w14:paraId="5CF5726A" w14:textId="77777777" w:rsidR="009227B6" w:rsidRPr="009227B6" w:rsidRDefault="009227B6" w:rsidP="009227B6">
            <w:r w:rsidRPr="009227B6">
              <w:t>TAB</w:t>
            </w:r>
          </w:p>
        </w:tc>
        <w:tc>
          <w:tcPr>
            <w:tcW w:w="455" w:type="pct"/>
            <w:tcBorders>
              <w:bottom w:val="single" w:sz="4" w:space="0" w:color="auto"/>
            </w:tcBorders>
            <w:shd w:val="clear" w:color="auto" w:fill="auto"/>
            <w:vAlign w:val="center"/>
            <w:hideMark/>
          </w:tcPr>
          <w:p w14:paraId="4F3335DB" w14:textId="77777777" w:rsidR="009227B6" w:rsidRPr="009227B6" w:rsidRDefault="009227B6" w:rsidP="009227B6">
            <w:pPr>
              <w:jc w:val="center"/>
            </w:pPr>
            <w:r w:rsidRPr="009227B6">
              <w:t>0.6</w:t>
            </w:r>
          </w:p>
        </w:tc>
        <w:tc>
          <w:tcPr>
            <w:tcW w:w="455" w:type="pct"/>
            <w:tcBorders>
              <w:bottom w:val="single" w:sz="4" w:space="0" w:color="auto"/>
            </w:tcBorders>
            <w:shd w:val="clear" w:color="auto" w:fill="auto"/>
            <w:vAlign w:val="center"/>
            <w:hideMark/>
          </w:tcPr>
          <w:p w14:paraId="7AA5FB3B" w14:textId="77777777" w:rsidR="009227B6" w:rsidRPr="009227B6" w:rsidRDefault="009227B6" w:rsidP="009227B6">
            <w:pPr>
              <w:jc w:val="center"/>
            </w:pPr>
            <w:r w:rsidRPr="009227B6">
              <w:t>0.04</w:t>
            </w:r>
          </w:p>
        </w:tc>
        <w:tc>
          <w:tcPr>
            <w:tcW w:w="455" w:type="pct"/>
            <w:tcBorders>
              <w:bottom w:val="single" w:sz="4" w:space="0" w:color="auto"/>
            </w:tcBorders>
            <w:shd w:val="clear" w:color="auto" w:fill="auto"/>
            <w:vAlign w:val="center"/>
            <w:hideMark/>
          </w:tcPr>
          <w:p w14:paraId="4CA3FD1F" w14:textId="77777777" w:rsidR="009227B6" w:rsidRPr="009227B6" w:rsidRDefault="009227B6" w:rsidP="009227B6">
            <w:pPr>
              <w:jc w:val="center"/>
            </w:pPr>
            <w:r w:rsidRPr="009227B6">
              <w:t>-0.03</w:t>
            </w:r>
          </w:p>
        </w:tc>
        <w:tc>
          <w:tcPr>
            <w:tcW w:w="455" w:type="pct"/>
            <w:tcBorders>
              <w:bottom w:val="single" w:sz="4" w:space="0" w:color="auto"/>
            </w:tcBorders>
            <w:shd w:val="clear" w:color="auto" w:fill="auto"/>
            <w:vAlign w:val="center"/>
            <w:hideMark/>
          </w:tcPr>
          <w:p w14:paraId="4A325D50" w14:textId="77777777" w:rsidR="009227B6" w:rsidRPr="009227B6" w:rsidRDefault="009227B6" w:rsidP="009227B6">
            <w:pPr>
              <w:jc w:val="center"/>
            </w:pPr>
            <w:r w:rsidRPr="009227B6">
              <w:t>0.93</w:t>
            </w:r>
          </w:p>
        </w:tc>
        <w:tc>
          <w:tcPr>
            <w:tcW w:w="455" w:type="pct"/>
            <w:tcBorders>
              <w:bottom w:val="single" w:sz="4" w:space="0" w:color="auto"/>
            </w:tcBorders>
            <w:shd w:val="clear" w:color="auto" w:fill="auto"/>
            <w:vAlign w:val="center"/>
            <w:hideMark/>
          </w:tcPr>
          <w:p w14:paraId="093291BE" w14:textId="77777777" w:rsidR="009227B6" w:rsidRPr="009227B6" w:rsidRDefault="009227B6" w:rsidP="009227B6">
            <w:pPr>
              <w:jc w:val="center"/>
            </w:pPr>
            <w:r w:rsidRPr="009227B6">
              <w:t>0.02</w:t>
            </w:r>
          </w:p>
        </w:tc>
        <w:tc>
          <w:tcPr>
            <w:tcW w:w="455" w:type="pct"/>
            <w:tcBorders>
              <w:bottom w:val="single" w:sz="4" w:space="0" w:color="auto"/>
            </w:tcBorders>
            <w:shd w:val="clear" w:color="auto" w:fill="auto"/>
            <w:vAlign w:val="center"/>
            <w:hideMark/>
          </w:tcPr>
          <w:p w14:paraId="740DEB08" w14:textId="77777777" w:rsidR="009227B6" w:rsidRPr="009227B6" w:rsidRDefault="009227B6" w:rsidP="009227B6">
            <w:pPr>
              <w:jc w:val="center"/>
            </w:pPr>
            <w:r w:rsidRPr="009227B6">
              <w:t>0.96</w:t>
            </w:r>
          </w:p>
        </w:tc>
        <w:tc>
          <w:tcPr>
            <w:tcW w:w="455" w:type="pct"/>
            <w:tcBorders>
              <w:bottom w:val="single" w:sz="4" w:space="0" w:color="auto"/>
            </w:tcBorders>
            <w:shd w:val="clear" w:color="auto" w:fill="auto"/>
            <w:vAlign w:val="center"/>
            <w:hideMark/>
          </w:tcPr>
          <w:p w14:paraId="54FE76E9" w14:textId="77777777" w:rsidR="009227B6" w:rsidRPr="009227B6" w:rsidRDefault="009227B6" w:rsidP="009227B6">
            <w:pPr>
              <w:jc w:val="center"/>
            </w:pPr>
            <w:r w:rsidRPr="009227B6">
              <w:t>-0.07</w:t>
            </w:r>
          </w:p>
        </w:tc>
        <w:tc>
          <w:tcPr>
            <w:tcW w:w="455" w:type="pct"/>
            <w:tcBorders>
              <w:bottom w:val="single" w:sz="4" w:space="0" w:color="auto"/>
            </w:tcBorders>
            <w:shd w:val="clear" w:color="auto" w:fill="auto"/>
            <w:vAlign w:val="center"/>
            <w:hideMark/>
          </w:tcPr>
          <w:p w14:paraId="41249CCA" w14:textId="77777777" w:rsidR="009227B6" w:rsidRPr="009227B6" w:rsidRDefault="009227B6" w:rsidP="009227B6">
            <w:pPr>
              <w:jc w:val="center"/>
            </w:pPr>
            <w:r w:rsidRPr="009227B6">
              <w:t>0.84</w:t>
            </w:r>
          </w:p>
        </w:tc>
        <w:tc>
          <w:tcPr>
            <w:tcW w:w="455" w:type="pct"/>
            <w:tcBorders>
              <w:bottom w:val="single" w:sz="4" w:space="0" w:color="auto"/>
            </w:tcBorders>
            <w:shd w:val="clear" w:color="auto" w:fill="auto"/>
            <w:vAlign w:val="center"/>
            <w:hideMark/>
          </w:tcPr>
          <w:p w14:paraId="349FCA8C" w14:textId="77777777" w:rsidR="009227B6" w:rsidRPr="009227B6" w:rsidRDefault="009227B6" w:rsidP="009227B6">
            <w:pPr>
              <w:jc w:val="center"/>
            </w:pPr>
            <w:r w:rsidRPr="009227B6">
              <w:t>0.73</w:t>
            </w:r>
          </w:p>
        </w:tc>
        <w:tc>
          <w:tcPr>
            <w:tcW w:w="450" w:type="pct"/>
            <w:tcBorders>
              <w:bottom w:val="single" w:sz="4" w:space="0" w:color="auto"/>
            </w:tcBorders>
            <w:shd w:val="clear" w:color="auto" w:fill="auto"/>
            <w:vAlign w:val="center"/>
            <w:hideMark/>
          </w:tcPr>
          <w:p w14:paraId="712A3C8A" w14:textId="77777777" w:rsidR="009227B6" w:rsidRPr="009227B6" w:rsidRDefault="009227B6" w:rsidP="009227B6">
            <w:pPr>
              <w:jc w:val="center"/>
            </w:pPr>
            <w:r w:rsidRPr="009227B6">
              <w:t>0.01</w:t>
            </w:r>
          </w:p>
        </w:tc>
      </w:tr>
      <w:tr w:rsidR="009227B6" w:rsidRPr="009227B6" w14:paraId="062CF070" w14:textId="77777777" w:rsidTr="00D76EC1">
        <w:trPr>
          <w:trHeight w:val="288"/>
        </w:trPr>
        <w:tc>
          <w:tcPr>
            <w:tcW w:w="455" w:type="pct"/>
            <w:tcBorders>
              <w:top w:val="single" w:sz="4" w:space="0" w:color="auto"/>
              <w:bottom w:val="single" w:sz="4" w:space="0" w:color="auto"/>
            </w:tcBorders>
            <w:shd w:val="clear" w:color="auto" w:fill="auto"/>
            <w:noWrap/>
            <w:vAlign w:val="bottom"/>
            <w:hideMark/>
          </w:tcPr>
          <w:p w14:paraId="425CE9E4" w14:textId="77777777" w:rsidR="009227B6" w:rsidRPr="009227B6" w:rsidRDefault="009227B6">
            <w:r w:rsidRPr="009227B6">
              <w:t> </w:t>
            </w:r>
          </w:p>
        </w:tc>
        <w:tc>
          <w:tcPr>
            <w:tcW w:w="455" w:type="pct"/>
            <w:tcBorders>
              <w:top w:val="single" w:sz="4" w:space="0" w:color="auto"/>
              <w:bottom w:val="single" w:sz="4" w:space="0" w:color="auto"/>
            </w:tcBorders>
            <w:shd w:val="clear" w:color="auto" w:fill="auto"/>
            <w:vAlign w:val="center"/>
            <w:hideMark/>
          </w:tcPr>
          <w:p w14:paraId="018594FE" w14:textId="77777777" w:rsidR="009227B6" w:rsidRPr="009227B6" w:rsidRDefault="009227B6" w:rsidP="009227B6">
            <w:pPr>
              <w:jc w:val="center"/>
            </w:pPr>
            <w:r w:rsidRPr="009227B6">
              <w:t>CB</w:t>
            </w:r>
          </w:p>
        </w:tc>
        <w:tc>
          <w:tcPr>
            <w:tcW w:w="455" w:type="pct"/>
            <w:tcBorders>
              <w:top w:val="single" w:sz="4" w:space="0" w:color="auto"/>
              <w:bottom w:val="single" w:sz="4" w:space="0" w:color="auto"/>
            </w:tcBorders>
            <w:shd w:val="clear" w:color="auto" w:fill="auto"/>
            <w:noWrap/>
            <w:vAlign w:val="bottom"/>
            <w:hideMark/>
          </w:tcPr>
          <w:p w14:paraId="7CB17A7C" w14:textId="6686FC31"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3FB4D950" w14:textId="77777777" w:rsidR="009227B6" w:rsidRPr="009227B6" w:rsidRDefault="009227B6" w:rsidP="009227B6">
            <w:pPr>
              <w:jc w:val="center"/>
            </w:pPr>
            <w:r w:rsidRPr="009227B6">
              <w:t>CH</w:t>
            </w:r>
          </w:p>
        </w:tc>
        <w:tc>
          <w:tcPr>
            <w:tcW w:w="455" w:type="pct"/>
            <w:tcBorders>
              <w:top w:val="single" w:sz="4" w:space="0" w:color="auto"/>
              <w:bottom w:val="single" w:sz="4" w:space="0" w:color="auto"/>
            </w:tcBorders>
            <w:shd w:val="clear" w:color="auto" w:fill="auto"/>
            <w:noWrap/>
            <w:vAlign w:val="bottom"/>
            <w:hideMark/>
          </w:tcPr>
          <w:p w14:paraId="1801B798" w14:textId="6385DCCF"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14ECFA6B" w14:textId="77777777" w:rsidR="009227B6" w:rsidRPr="009227B6" w:rsidRDefault="009227B6" w:rsidP="009227B6">
            <w:pPr>
              <w:jc w:val="center"/>
            </w:pPr>
            <w:r w:rsidRPr="009227B6">
              <w:t>AB</w:t>
            </w:r>
          </w:p>
        </w:tc>
        <w:tc>
          <w:tcPr>
            <w:tcW w:w="455" w:type="pct"/>
            <w:tcBorders>
              <w:top w:val="single" w:sz="4" w:space="0" w:color="auto"/>
              <w:bottom w:val="single" w:sz="4" w:space="0" w:color="auto"/>
            </w:tcBorders>
            <w:shd w:val="clear" w:color="auto" w:fill="auto"/>
            <w:noWrap/>
            <w:vAlign w:val="bottom"/>
            <w:hideMark/>
          </w:tcPr>
          <w:p w14:paraId="624F9730" w14:textId="2174D874"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2267EEBF" w14:textId="77777777" w:rsidR="009227B6" w:rsidRPr="009227B6" w:rsidRDefault="009227B6" w:rsidP="009227B6">
            <w:pPr>
              <w:jc w:val="center"/>
            </w:pPr>
            <w:r w:rsidRPr="009227B6">
              <w:t>LH</w:t>
            </w:r>
          </w:p>
        </w:tc>
        <w:tc>
          <w:tcPr>
            <w:tcW w:w="455" w:type="pct"/>
            <w:tcBorders>
              <w:top w:val="single" w:sz="4" w:space="0" w:color="auto"/>
              <w:bottom w:val="single" w:sz="4" w:space="0" w:color="auto"/>
            </w:tcBorders>
            <w:shd w:val="clear" w:color="auto" w:fill="auto"/>
            <w:noWrap/>
            <w:vAlign w:val="bottom"/>
            <w:hideMark/>
          </w:tcPr>
          <w:p w14:paraId="083ED4DB" w14:textId="1AA09928"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6D788343" w14:textId="77777777" w:rsidR="009227B6" w:rsidRPr="009227B6" w:rsidRDefault="009227B6" w:rsidP="009227B6">
            <w:pPr>
              <w:jc w:val="center"/>
            </w:pPr>
            <w:r w:rsidRPr="009227B6">
              <w:t>CAB</w:t>
            </w:r>
          </w:p>
        </w:tc>
        <w:tc>
          <w:tcPr>
            <w:tcW w:w="450" w:type="pct"/>
            <w:tcBorders>
              <w:top w:val="single" w:sz="4" w:space="0" w:color="auto"/>
              <w:bottom w:val="single" w:sz="4" w:space="0" w:color="auto"/>
            </w:tcBorders>
            <w:shd w:val="clear" w:color="auto" w:fill="auto"/>
            <w:noWrap/>
            <w:vAlign w:val="bottom"/>
            <w:hideMark/>
          </w:tcPr>
          <w:p w14:paraId="435099E6" w14:textId="1E206428" w:rsidR="009227B6" w:rsidRPr="009227B6" w:rsidRDefault="009227B6" w:rsidP="009227B6">
            <w:pPr>
              <w:jc w:val="center"/>
            </w:pPr>
          </w:p>
        </w:tc>
      </w:tr>
      <w:tr w:rsidR="009227B6" w:rsidRPr="009227B6" w14:paraId="2317E4A4" w14:textId="77777777" w:rsidTr="00D76EC1">
        <w:trPr>
          <w:trHeight w:val="288"/>
        </w:trPr>
        <w:tc>
          <w:tcPr>
            <w:tcW w:w="455" w:type="pct"/>
            <w:tcBorders>
              <w:top w:val="single" w:sz="4" w:space="0" w:color="auto"/>
            </w:tcBorders>
            <w:shd w:val="clear" w:color="auto" w:fill="auto"/>
            <w:vAlign w:val="center"/>
            <w:hideMark/>
          </w:tcPr>
          <w:p w14:paraId="0510B10A" w14:textId="77777777" w:rsidR="009227B6" w:rsidRPr="009227B6" w:rsidRDefault="009227B6">
            <w:r w:rsidRPr="009227B6">
              <w:t>T2</w:t>
            </w:r>
          </w:p>
        </w:tc>
        <w:tc>
          <w:tcPr>
            <w:tcW w:w="455" w:type="pct"/>
            <w:tcBorders>
              <w:top w:val="single" w:sz="4" w:space="0" w:color="auto"/>
            </w:tcBorders>
            <w:shd w:val="clear" w:color="auto" w:fill="auto"/>
            <w:vAlign w:val="center"/>
            <w:hideMark/>
          </w:tcPr>
          <w:p w14:paraId="6C647085" w14:textId="77777777" w:rsidR="009227B6" w:rsidRPr="009227B6" w:rsidRDefault="009227B6" w:rsidP="009227B6">
            <w:pPr>
              <w:jc w:val="center"/>
            </w:pPr>
            <w:r w:rsidRPr="009227B6">
              <w:t>r</w:t>
            </w:r>
          </w:p>
        </w:tc>
        <w:tc>
          <w:tcPr>
            <w:tcW w:w="455" w:type="pct"/>
            <w:tcBorders>
              <w:top w:val="single" w:sz="4" w:space="0" w:color="auto"/>
            </w:tcBorders>
            <w:shd w:val="clear" w:color="auto" w:fill="auto"/>
            <w:vAlign w:val="center"/>
            <w:hideMark/>
          </w:tcPr>
          <w:p w14:paraId="643D9EBE"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2AFFC5C0" w14:textId="4826BF31" w:rsidR="009227B6" w:rsidRPr="009227B6" w:rsidRDefault="005B21A8" w:rsidP="009227B6">
            <w:pPr>
              <w:jc w:val="center"/>
            </w:pPr>
            <w:r w:rsidRPr="009227B6">
              <w:t>R</w:t>
            </w:r>
          </w:p>
        </w:tc>
        <w:tc>
          <w:tcPr>
            <w:tcW w:w="455" w:type="pct"/>
            <w:tcBorders>
              <w:top w:val="single" w:sz="4" w:space="0" w:color="auto"/>
            </w:tcBorders>
            <w:shd w:val="clear" w:color="auto" w:fill="auto"/>
            <w:vAlign w:val="center"/>
            <w:hideMark/>
          </w:tcPr>
          <w:p w14:paraId="315231B7"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394A0097" w14:textId="77777777" w:rsidR="009227B6" w:rsidRPr="009227B6" w:rsidRDefault="009227B6" w:rsidP="009227B6">
            <w:pPr>
              <w:jc w:val="center"/>
            </w:pPr>
            <w:r w:rsidRPr="009227B6">
              <w:t>r</w:t>
            </w:r>
          </w:p>
        </w:tc>
        <w:tc>
          <w:tcPr>
            <w:tcW w:w="455" w:type="pct"/>
            <w:tcBorders>
              <w:top w:val="single" w:sz="4" w:space="0" w:color="auto"/>
            </w:tcBorders>
            <w:shd w:val="clear" w:color="auto" w:fill="auto"/>
            <w:vAlign w:val="center"/>
            <w:hideMark/>
          </w:tcPr>
          <w:p w14:paraId="670562CA"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54ABD997" w14:textId="77777777" w:rsidR="009227B6" w:rsidRPr="009227B6" w:rsidRDefault="009227B6" w:rsidP="009227B6">
            <w:pPr>
              <w:jc w:val="center"/>
            </w:pPr>
            <w:r w:rsidRPr="009227B6">
              <w:t>r</w:t>
            </w:r>
          </w:p>
        </w:tc>
        <w:tc>
          <w:tcPr>
            <w:tcW w:w="455" w:type="pct"/>
            <w:tcBorders>
              <w:top w:val="single" w:sz="4" w:space="0" w:color="auto"/>
            </w:tcBorders>
            <w:shd w:val="clear" w:color="auto" w:fill="auto"/>
            <w:vAlign w:val="center"/>
            <w:hideMark/>
          </w:tcPr>
          <w:p w14:paraId="5FC75982"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7DC1C064" w14:textId="77777777" w:rsidR="009227B6" w:rsidRPr="009227B6" w:rsidRDefault="009227B6" w:rsidP="009227B6">
            <w:pPr>
              <w:jc w:val="center"/>
            </w:pPr>
            <w:r w:rsidRPr="009227B6">
              <w:t>r</w:t>
            </w:r>
          </w:p>
        </w:tc>
        <w:tc>
          <w:tcPr>
            <w:tcW w:w="450" w:type="pct"/>
            <w:tcBorders>
              <w:top w:val="single" w:sz="4" w:space="0" w:color="auto"/>
            </w:tcBorders>
            <w:shd w:val="clear" w:color="auto" w:fill="auto"/>
            <w:vAlign w:val="center"/>
            <w:hideMark/>
          </w:tcPr>
          <w:p w14:paraId="0CFEB950" w14:textId="77777777" w:rsidR="009227B6" w:rsidRPr="009227B6" w:rsidRDefault="009227B6" w:rsidP="009227B6">
            <w:pPr>
              <w:jc w:val="center"/>
            </w:pPr>
            <w:r w:rsidRPr="009227B6">
              <w:t>2-t</w:t>
            </w:r>
          </w:p>
        </w:tc>
      </w:tr>
      <w:tr w:rsidR="009227B6" w:rsidRPr="009227B6" w14:paraId="1325EF5F" w14:textId="77777777" w:rsidTr="00D76EC1">
        <w:trPr>
          <w:trHeight w:val="288"/>
        </w:trPr>
        <w:tc>
          <w:tcPr>
            <w:tcW w:w="455" w:type="pct"/>
            <w:shd w:val="clear" w:color="auto" w:fill="auto"/>
            <w:vAlign w:val="center"/>
            <w:hideMark/>
          </w:tcPr>
          <w:p w14:paraId="66AB325B" w14:textId="77777777" w:rsidR="009227B6" w:rsidRPr="009227B6" w:rsidRDefault="009227B6" w:rsidP="009227B6">
            <w:r w:rsidRPr="009227B6">
              <w:t>CH</w:t>
            </w:r>
          </w:p>
        </w:tc>
        <w:tc>
          <w:tcPr>
            <w:tcW w:w="455" w:type="pct"/>
            <w:shd w:val="clear" w:color="auto" w:fill="auto"/>
            <w:noWrap/>
            <w:vAlign w:val="center"/>
            <w:hideMark/>
          </w:tcPr>
          <w:p w14:paraId="50B7B189" w14:textId="77777777" w:rsidR="009227B6" w:rsidRPr="009227B6" w:rsidRDefault="009227B6" w:rsidP="009227B6">
            <w:pPr>
              <w:jc w:val="center"/>
            </w:pPr>
            <w:r w:rsidRPr="009227B6">
              <w:t>-0.5</w:t>
            </w:r>
          </w:p>
        </w:tc>
        <w:tc>
          <w:tcPr>
            <w:tcW w:w="455" w:type="pct"/>
            <w:shd w:val="clear" w:color="auto" w:fill="auto"/>
            <w:noWrap/>
            <w:vAlign w:val="center"/>
            <w:hideMark/>
          </w:tcPr>
          <w:p w14:paraId="3222C4DD" w14:textId="77777777" w:rsidR="009227B6" w:rsidRPr="009227B6" w:rsidRDefault="009227B6" w:rsidP="009227B6">
            <w:pPr>
              <w:jc w:val="center"/>
            </w:pPr>
            <w:r w:rsidRPr="009227B6">
              <w:t>0.1</w:t>
            </w:r>
          </w:p>
        </w:tc>
        <w:tc>
          <w:tcPr>
            <w:tcW w:w="455" w:type="pct"/>
            <w:shd w:val="clear" w:color="auto" w:fill="auto"/>
            <w:noWrap/>
            <w:hideMark/>
          </w:tcPr>
          <w:p w14:paraId="7AE721EE" w14:textId="77777777" w:rsidR="009227B6" w:rsidRPr="009227B6" w:rsidRDefault="009227B6" w:rsidP="009227B6">
            <w:pPr>
              <w:jc w:val="center"/>
            </w:pPr>
          </w:p>
        </w:tc>
        <w:tc>
          <w:tcPr>
            <w:tcW w:w="455" w:type="pct"/>
            <w:shd w:val="clear" w:color="auto" w:fill="auto"/>
            <w:noWrap/>
            <w:hideMark/>
          </w:tcPr>
          <w:p w14:paraId="100DAAE3" w14:textId="77777777" w:rsidR="009227B6" w:rsidRPr="009227B6" w:rsidRDefault="009227B6" w:rsidP="009227B6">
            <w:pPr>
              <w:jc w:val="center"/>
            </w:pPr>
          </w:p>
        </w:tc>
        <w:tc>
          <w:tcPr>
            <w:tcW w:w="455" w:type="pct"/>
            <w:shd w:val="clear" w:color="auto" w:fill="auto"/>
            <w:noWrap/>
            <w:hideMark/>
          </w:tcPr>
          <w:p w14:paraId="77619104" w14:textId="77777777" w:rsidR="009227B6" w:rsidRPr="009227B6" w:rsidRDefault="009227B6" w:rsidP="009227B6">
            <w:pPr>
              <w:jc w:val="center"/>
            </w:pPr>
          </w:p>
        </w:tc>
        <w:tc>
          <w:tcPr>
            <w:tcW w:w="455" w:type="pct"/>
            <w:shd w:val="clear" w:color="auto" w:fill="auto"/>
            <w:noWrap/>
            <w:hideMark/>
          </w:tcPr>
          <w:p w14:paraId="75053C63" w14:textId="77777777" w:rsidR="009227B6" w:rsidRPr="009227B6" w:rsidRDefault="009227B6" w:rsidP="009227B6">
            <w:pPr>
              <w:jc w:val="center"/>
            </w:pPr>
          </w:p>
        </w:tc>
        <w:tc>
          <w:tcPr>
            <w:tcW w:w="455" w:type="pct"/>
            <w:shd w:val="clear" w:color="auto" w:fill="auto"/>
            <w:noWrap/>
            <w:hideMark/>
          </w:tcPr>
          <w:p w14:paraId="64EA9E92" w14:textId="77777777" w:rsidR="009227B6" w:rsidRPr="009227B6" w:rsidRDefault="009227B6" w:rsidP="009227B6">
            <w:pPr>
              <w:jc w:val="center"/>
            </w:pPr>
          </w:p>
        </w:tc>
        <w:tc>
          <w:tcPr>
            <w:tcW w:w="455" w:type="pct"/>
            <w:shd w:val="clear" w:color="auto" w:fill="auto"/>
            <w:noWrap/>
            <w:hideMark/>
          </w:tcPr>
          <w:p w14:paraId="17D22394" w14:textId="77777777" w:rsidR="009227B6" w:rsidRPr="009227B6" w:rsidRDefault="009227B6" w:rsidP="009227B6">
            <w:pPr>
              <w:jc w:val="center"/>
            </w:pPr>
          </w:p>
        </w:tc>
        <w:tc>
          <w:tcPr>
            <w:tcW w:w="455" w:type="pct"/>
            <w:shd w:val="clear" w:color="auto" w:fill="auto"/>
            <w:noWrap/>
            <w:hideMark/>
          </w:tcPr>
          <w:p w14:paraId="73ABA4C0" w14:textId="77777777" w:rsidR="009227B6" w:rsidRPr="009227B6" w:rsidRDefault="009227B6" w:rsidP="009227B6">
            <w:pPr>
              <w:jc w:val="center"/>
            </w:pPr>
          </w:p>
        </w:tc>
        <w:tc>
          <w:tcPr>
            <w:tcW w:w="450" w:type="pct"/>
            <w:shd w:val="clear" w:color="auto" w:fill="auto"/>
            <w:noWrap/>
            <w:hideMark/>
          </w:tcPr>
          <w:p w14:paraId="1ADC5E9A" w14:textId="5BAF1717" w:rsidR="009227B6" w:rsidRPr="009227B6" w:rsidRDefault="009227B6" w:rsidP="009227B6">
            <w:pPr>
              <w:jc w:val="center"/>
            </w:pPr>
          </w:p>
        </w:tc>
      </w:tr>
      <w:tr w:rsidR="009227B6" w:rsidRPr="009227B6" w14:paraId="130ACDA6" w14:textId="77777777" w:rsidTr="00D76EC1">
        <w:trPr>
          <w:trHeight w:val="288"/>
        </w:trPr>
        <w:tc>
          <w:tcPr>
            <w:tcW w:w="455" w:type="pct"/>
            <w:shd w:val="clear" w:color="auto" w:fill="auto"/>
            <w:vAlign w:val="center"/>
            <w:hideMark/>
          </w:tcPr>
          <w:p w14:paraId="315CD68C" w14:textId="77777777" w:rsidR="009227B6" w:rsidRPr="009227B6" w:rsidRDefault="009227B6" w:rsidP="009227B6">
            <w:r w:rsidRPr="009227B6">
              <w:t>AB</w:t>
            </w:r>
          </w:p>
        </w:tc>
        <w:tc>
          <w:tcPr>
            <w:tcW w:w="455" w:type="pct"/>
            <w:shd w:val="clear" w:color="auto" w:fill="auto"/>
            <w:noWrap/>
            <w:vAlign w:val="center"/>
            <w:hideMark/>
          </w:tcPr>
          <w:p w14:paraId="519F73D4" w14:textId="77777777" w:rsidR="009227B6" w:rsidRPr="009227B6" w:rsidRDefault="009227B6" w:rsidP="009227B6">
            <w:pPr>
              <w:jc w:val="center"/>
            </w:pPr>
            <w:r w:rsidRPr="009227B6">
              <w:t>-0.43</w:t>
            </w:r>
          </w:p>
        </w:tc>
        <w:tc>
          <w:tcPr>
            <w:tcW w:w="455" w:type="pct"/>
            <w:shd w:val="clear" w:color="auto" w:fill="auto"/>
            <w:noWrap/>
            <w:vAlign w:val="center"/>
            <w:hideMark/>
          </w:tcPr>
          <w:p w14:paraId="6D2B63FB" w14:textId="77777777" w:rsidR="009227B6" w:rsidRPr="009227B6" w:rsidRDefault="009227B6" w:rsidP="009227B6">
            <w:pPr>
              <w:jc w:val="center"/>
            </w:pPr>
            <w:r w:rsidRPr="009227B6">
              <w:t>0.16</w:t>
            </w:r>
          </w:p>
        </w:tc>
        <w:tc>
          <w:tcPr>
            <w:tcW w:w="455" w:type="pct"/>
            <w:shd w:val="clear" w:color="auto" w:fill="auto"/>
            <w:noWrap/>
            <w:vAlign w:val="center"/>
            <w:hideMark/>
          </w:tcPr>
          <w:p w14:paraId="34A77777" w14:textId="77777777" w:rsidR="009227B6" w:rsidRPr="009227B6" w:rsidRDefault="009227B6" w:rsidP="009227B6">
            <w:pPr>
              <w:jc w:val="center"/>
            </w:pPr>
            <w:r w:rsidRPr="009227B6">
              <w:t>0.98</w:t>
            </w:r>
          </w:p>
        </w:tc>
        <w:tc>
          <w:tcPr>
            <w:tcW w:w="455" w:type="pct"/>
            <w:shd w:val="clear" w:color="auto" w:fill="auto"/>
            <w:noWrap/>
            <w:vAlign w:val="center"/>
            <w:hideMark/>
          </w:tcPr>
          <w:p w14:paraId="179EDDA2" w14:textId="77777777" w:rsidR="009227B6" w:rsidRPr="009227B6" w:rsidRDefault="009227B6" w:rsidP="009227B6">
            <w:pPr>
              <w:jc w:val="center"/>
            </w:pPr>
            <w:r w:rsidRPr="009227B6">
              <w:t>0</w:t>
            </w:r>
          </w:p>
        </w:tc>
        <w:tc>
          <w:tcPr>
            <w:tcW w:w="455" w:type="pct"/>
            <w:shd w:val="clear" w:color="auto" w:fill="auto"/>
            <w:noWrap/>
            <w:hideMark/>
          </w:tcPr>
          <w:p w14:paraId="44A95BAE" w14:textId="77777777" w:rsidR="009227B6" w:rsidRPr="009227B6" w:rsidRDefault="009227B6" w:rsidP="009227B6">
            <w:pPr>
              <w:jc w:val="center"/>
            </w:pPr>
          </w:p>
        </w:tc>
        <w:tc>
          <w:tcPr>
            <w:tcW w:w="455" w:type="pct"/>
            <w:shd w:val="clear" w:color="auto" w:fill="auto"/>
            <w:noWrap/>
            <w:hideMark/>
          </w:tcPr>
          <w:p w14:paraId="302EF528" w14:textId="77777777" w:rsidR="009227B6" w:rsidRPr="009227B6" w:rsidRDefault="009227B6" w:rsidP="009227B6">
            <w:pPr>
              <w:jc w:val="center"/>
            </w:pPr>
          </w:p>
        </w:tc>
        <w:tc>
          <w:tcPr>
            <w:tcW w:w="455" w:type="pct"/>
            <w:shd w:val="clear" w:color="auto" w:fill="auto"/>
            <w:noWrap/>
            <w:hideMark/>
          </w:tcPr>
          <w:p w14:paraId="147FDC4C" w14:textId="77777777" w:rsidR="009227B6" w:rsidRPr="009227B6" w:rsidRDefault="009227B6" w:rsidP="009227B6">
            <w:pPr>
              <w:jc w:val="center"/>
            </w:pPr>
          </w:p>
        </w:tc>
        <w:tc>
          <w:tcPr>
            <w:tcW w:w="455" w:type="pct"/>
            <w:shd w:val="clear" w:color="auto" w:fill="auto"/>
            <w:noWrap/>
            <w:hideMark/>
          </w:tcPr>
          <w:p w14:paraId="0832FE25" w14:textId="77777777" w:rsidR="009227B6" w:rsidRPr="009227B6" w:rsidRDefault="009227B6" w:rsidP="009227B6">
            <w:pPr>
              <w:jc w:val="center"/>
            </w:pPr>
          </w:p>
        </w:tc>
        <w:tc>
          <w:tcPr>
            <w:tcW w:w="455" w:type="pct"/>
            <w:shd w:val="clear" w:color="auto" w:fill="auto"/>
            <w:noWrap/>
            <w:hideMark/>
          </w:tcPr>
          <w:p w14:paraId="274C7D34" w14:textId="77777777" w:rsidR="009227B6" w:rsidRPr="009227B6" w:rsidRDefault="009227B6" w:rsidP="009227B6">
            <w:pPr>
              <w:jc w:val="center"/>
            </w:pPr>
          </w:p>
        </w:tc>
        <w:tc>
          <w:tcPr>
            <w:tcW w:w="450" w:type="pct"/>
            <w:shd w:val="clear" w:color="auto" w:fill="auto"/>
            <w:noWrap/>
            <w:hideMark/>
          </w:tcPr>
          <w:p w14:paraId="3C6BEA5D" w14:textId="6715AEE9" w:rsidR="009227B6" w:rsidRPr="009227B6" w:rsidRDefault="009227B6" w:rsidP="009227B6">
            <w:pPr>
              <w:jc w:val="center"/>
            </w:pPr>
          </w:p>
        </w:tc>
      </w:tr>
      <w:tr w:rsidR="009227B6" w:rsidRPr="009227B6" w14:paraId="785E73C3" w14:textId="77777777" w:rsidTr="00D76EC1">
        <w:trPr>
          <w:trHeight w:val="288"/>
        </w:trPr>
        <w:tc>
          <w:tcPr>
            <w:tcW w:w="455" w:type="pct"/>
            <w:shd w:val="clear" w:color="auto" w:fill="auto"/>
            <w:vAlign w:val="center"/>
            <w:hideMark/>
          </w:tcPr>
          <w:p w14:paraId="2080274F" w14:textId="77777777" w:rsidR="009227B6" w:rsidRPr="009227B6" w:rsidRDefault="009227B6" w:rsidP="009227B6">
            <w:r w:rsidRPr="009227B6">
              <w:t>LH</w:t>
            </w:r>
          </w:p>
        </w:tc>
        <w:tc>
          <w:tcPr>
            <w:tcW w:w="455" w:type="pct"/>
            <w:shd w:val="clear" w:color="auto" w:fill="auto"/>
            <w:noWrap/>
            <w:vAlign w:val="center"/>
            <w:hideMark/>
          </w:tcPr>
          <w:p w14:paraId="6F70B88B" w14:textId="77777777" w:rsidR="009227B6" w:rsidRPr="009227B6" w:rsidRDefault="009227B6" w:rsidP="009227B6">
            <w:pPr>
              <w:jc w:val="center"/>
            </w:pPr>
            <w:r w:rsidRPr="009227B6">
              <w:t>-0.27</w:t>
            </w:r>
          </w:p>
        </w:tc>
        <w:tc>
          <w:tcPr>
            <w:tcW w:w="455" w:type="pct"/>
            <w:shd w:val="clear" w:color="auto" w:fill="auto"/>
            <w:noWrap/>
            <w:vAlign w:val="center"/>
            <w:hideMark/>
          </w:tcPr>
          <w:p w14:paraId="5264AB33" w14:textId="77777777" w:rsidR="009227B6" w:rsidRPr="009227B6" w:rsidRDefault="009227B6" w:rsidP="009227B6">
            <w:pPr>
              <w:jc w:val="center"/>
            </w:pPr>
            <w:r w:rsidRPr="009227B6">
              <w:t>0.4</w:t>
            </w:r>
          </w:p>
        </w:tc>
        <w:tc>
          <w:tcPr>
            <w:tcW w:w="455" w:type="pct"/>
            <w:shd w:val="clear" w:color="auto" w:fill="auto"/>
            <w:noWrap/>
            <w:vAlign w:val="center"/>
            <w:hideMark/>
          </w:tcPr>
          <w:p w14:paraId="7B08A35B" w14:textId="77777777" w:rsidR="009227B6" w:rsidRPr="009227B6" w:rsidRDefault="009227B6" w:rsidP="009227B6">
            <w:pPr>
              <w:jc w:val="center"/>
            </w:pPr>
            <w:r w:rsidRPr="009227B6">
              <w:t>0.66</w:t>
            </w:r>
          </w:p>
        </w:tc>
        <w:tc>
          <w:tcPr>
            <w:tcW w:w="455" w:type="pct"/>
            <w:shd w:val="clear" w:color="auto" w:fill="auto"/>
            <w:noWrap/>
            <w:vAlign w:val="center"/>
            <w:hideMark/>
          </w:tcPr>
          <w:p w14:paraId="156FE67A" w14:textId="77777777" w:rsidR="009227B6" w:rsidRPr="009227B6" w:rsidRDefault="009227B6" w:rsidP="009227B6">
            <w:pPr>
              <w:jc w:val="center"/>
            </w:pPr>
            <w:r w:rsidRPr="009227B6">
              <w:t>0.02</w:t>
            </w:r>
          </w:p>
        </w:tc>
        <w:tc>
          <w:tcPr>
            <w:tcW w:w="455" w:type="pct"/>
            <w:shd w:val="clear" w:color="auto" w:fill="auto"/>
            <w:noWrap/>
            <w:vAlign w:val="center"/>
            <w:hideMark/>
          </w:tcPr>
          <w:p w14:paraId="00E99916" w14:textId="77777777" w:rsidR="009227B6" w:rsidRPr="009227B6" w:rsidRDefault="009227B6" w:rsidP="009227B6">
            <w:pPr>
              <w:jc w:val="center"/>
            </w:pPr>
            <w:r w:rsidRPr="009227B6">
              <w:t>0.56</w:t>
            </w:r>
          </w:p>
        </w:tc>
        <w:tc>
          <w:tcPr>
            <w:tcW w:w="455" w:type="pct"/>
            <w:shd w:val="clear" w:color="auto" w:fill="auto"/>
            <w:noWrap/>
            <w:vAlign w:val="center"/>
            <w:hideMark/>
          </w:tcPr>
          <w:p w14:paraId="1CA28E67" w14:textId="77777777" w:rsidR="009227B6" w:rsidRPr="009227B6" w:rsidRDefault="009227B6" w:rsidP="009227B6">
            <w:pPr>
              <w:jc w:val="center"/>
            </w:pPr>
            <w:r w:rsidRPr="009227B6">
              <w:t>0.06</w:t>
            </w:r>
          </w:p>
        </w:tc>
        <w:tc>
          <w:tcPr>
            <w:tcW w:w="455" w:type="pct"/>
            <w:shd w:val="clear" w:color="auto" w:fill="auto"/>
            <w:noWrap/>
            <w:hideMark/>
          </w:tcPr>
          <w:p w14:paraId="233DBBBF" w14:textId="77777777" w:rsidR="009227B6" w:rsidRPr="009227B6" w:rsidRDefault="009227B6" w:rsidP="009227B6">
            <w:pPr>
              <w:jc w:val="center"/>
            </w:pPr>
          </w:p>
        </w:tc>
        <w:tc>
          <w:tcPr>
            <w:tcW w:w="455" w:type="pct"/>
            <w:shd w:val="clear" w:color="auto" w:fill="auto"/>
            <w:noWrap/>
            <w:hideMark/>
          </w:tcPr>
          <w:p w14:paraId="12584174" w14:textId="77777777" w:rsidR="009227B6" w:rsidRPr="009227B6" w:rsidRDefault="009227B6" w:rsidP="009227B6">
            <w:pPr>
              <w:jc w:val="center"/>
            </w:pPr>
          </w:p>
        </w:tc>
        <w:tc>
          <w:tcPr>
            <w:tcW w:w="455" w:type="pct"/>
            <w:shd w:val="clear" w:color="auto" w:fill="auto"/>
            <w:noWrap/>
            <w:hideMark/>
          </w:tcPr>
          <w:p w14:paraId="5ED3BDAB" w14:textId="77777777" w:rsidR="009227B6" w:rsidRPr="009227B6" w:rsidRDefault="009227B6" w:rsidP="009227B6">
            <w:pPr>
              <w:jc w:val="center"/>
            </w:pPr>
          </w:p>
        </w:tc>
        <w:tc>
          <w:tcPr>
            <w:tcW w:w="450" w:type="pct"/>
            <w:shd w:val="clear" w:color="auto" w:fill="auto"/>
            <w:noWrap/>
            <w:hideMark/>
          </w:tcPr>
          <w:p w14:paraId="7C2025FE" w14:textId="45E40D84" w:rsidR="009227B6" w:rsidRPr="009227B6" w:rsidRDefault="009227B6" w:rsidP="009227B6">
            <w:pPr>
              <w:jc w:val="center"/>
            </w:pPr>
          </w:p>
        </w:tc>
      </w:tr>
      <w:tr w:rsidR="009227B6" w:rsidRPr="009227B6" w14:paraId="6A2AE03F" w14:textId="77777777" w:rsidTr="00D76EC1">
        <w:trPr>
          <w:trHeight w:val="288"/>
        </w:trPr>
        <w:tc>
          <w:tcPr>
            <w:tcW w:w="455" w:type="pct"/>
            <w:shd w:val="clear" w:color="auto" w:fill="auto"/>
            <w:vAlign w:val="center"/>
            <w:hideMark/>
          </w:tcPr>
          <w:p w14:paraId="5A8BEEA8" w14:textId="77777777" w:rsidR="009227B6" w:rsidRPr="009227B6" w:rsidRDefault="009227B6" w:rsidP="009227B6">
            <w:r w:rsidRPr="009227B6">
              <w:t>CAB</w:t>
            </w:r>
          </w:p>
        </w:tc>
        <w:tc>
          <w:tcPr>
            <w:tcW w:w="455" w:type="pct"/>
            <w:shd w:val="clear" w:color="auto" w:fill="auto"/>
            <w:noWrap/>
            <w:vAlign w:val="center"/>
            <w:hideMark/>
          </w:tcPr>
          <w:p w14:paraId="454F95BF" w14:textId="77777777" w:rsidR="009227B6" w:rsidRPr="009227B6" w:rsidRDefault="009227B6" w:rsidP="009227B6">
            <w:pPr>
              <w:jc w:val="center"/>
            </w:pPr>
            <w:r w:rsidRPr="009227B6">
              <w:t>1</w:t>
            </w:r>
          </w:p>
        </w:tc>
        <w:tc>
          <w:tcPr>
            <w:tcW w:w="455" w:type="pct"/>
            <w:shd w:val="clear" w:color="auto" w:fill="auto"/>
            <w:noWrap/>
            <w:vAlign w:val="center"/>
            <w:hideMark/>
          </w:tcPr>
          <w:p w14:paraId="19309DC0" w14:textId="77777777" w:rsidR="009227B6" w:rsidRPr="009227B6" w:rsidRDefault="009227B6" w:rsidP="009227B6">
            <w:pPr>
              <w:jc w:val="center"/>
            </w:pPr>
            <w:r w:rsidRPr="009227B6">
              <w:t>0</w:t>
            </w:r>
          </w:p>
        </w:tc>
        <w:tc>
          <w:tcPr>
            <w:tcW w:w="455" w:type="pct"/>
            <w:shd w:val="clear" w:color="auto" w:fill="auto"/>
            <w:noWrap/>
            <w:vAlign w:val="center"/>
            <w:hideMark/>
          </w:tcPr>
          <w:p w14:paraId="79208EA9" w14:textId="77777777" w:rsidR="009227B6" w:rsidRPr="009227B6" w:rsidRDefault="009227B6" w:rsidP="009227B6">
            <w:pPr>
              <w:jc w:val="center"/>
            </w:pPr>
            <w:r w:rsidRPr="009227B6">
              <w:t>-0.5</w:t>
            </w:r>
          </w:p>
        </w:tc>
        <w:tc>
          <w:tcPr>
            <w:tcW w:w="455" w:type="pct"/>
            <w:shd w:val="clear" w:color="auto" w:fill="auto"/>
            <w:noWrap/>
            <w:vAlign w:val="center"/>
            <w:hideMark/>
          </w:tcPr>
          <w:p w14:paraId="710DE745" w14:textId="0068C38A" w:rsidR="009227B6" w:rsidRPr="009227B6" w:rsidRDefault="009227B6" w:rsidP="009227B6">
            <w:pPr>
              <w:jc w:val="center"/>
            </w:pPr>
            <w:r w:rsidRPr="009227B6">
              <w:t>0.1</w:t>
            </w:r>
            <w:r>
              <w:t>0</w:t>
            </w:r>
          </w:p>
        </w:tc>
        <w:tc>
          <w:tcPr>
            <w:tcW w:w="455" w:type="pct"/>
            <w:shd w:val="clear" w:color="auto" w:fill="auto"/>
            <w:noWrap/>
            <w:vAlign w:val="center"/>
            <w:hideMark/>
          </w:tcPr>
          <w:p w14:paraId="3D6E4843" w14:textId="77777777" w:rsidR="009227B6" w:rsidRPr="009227B6" w:rsidRDefault="009227B6" w:rsidP="009227B6">
            <w:pPr>
              <w:jc w:val="center"/>
            </w:pPr>
            <w:r w:rsidRPr="009227B6">
              <w:t>-0.43</w:t>
            </w:r>
          </w:p>
        </w:tc>
        <w:tc>
          <w:tcPr>
            <w:tcW w:w="455" w:type="pct"/>
            <w:shd w:val="clear" w:color="auto" w:fill="auto"/>
            <w:noWrap/>
            <w:vAlign w:val="center"/>
            <w:hideMark/>
          </w:tcPr>
          <w:p w14:paraId="4AD71877" w14:textId="77777777" w:rsidR="009227B6" w:rsidRPr="009227B6" w:rsidRDefault="009227B6" w:rsidP="009227B6">
            <w:pPr>
              <w:jc w:val="center"/>
            </w:pPr>
            <w:r w:rsidRPr="009227B6">
              <w:t>0.16</w:t>
            </w:r>
          </w:p>
        </w:tc>
        <w:tc>
          <w:tcPr>
            <w:tcW w:w="455" w:type="pct"/>
            <w:shd w:val="clear" w:color="auto" w:fill="auto"/>
            <w:noWrap/>
            <w:vAlign w:val="center"/>
            <w:hideMark/>
          </w:tcPr>
          <w:p w14:paraId="38D27D2D" w14:textId="77777777" w:rsidR="009227B6" w:rsidRPr="009227B6" w:rsidRDefault="009227B6" w:rsidP="009227B6">
            <w:pPr>
              <w:jc w:val="center"/>
            </w:pPr>
            <w:r w:rsidRPr="009227B6">
              <w:t>-0.27</w:t>
            </w:r>
          </w:p>
        </w:tc>
        <w:tc>
          <w:tcPr>
            <w:tcW w:w="455" w:type="pct"/>
            <w:shd w:val="clear" w:color="auto" w:fill="auto"/>
            <w:noWrap/>
            <w:vAlign w:val="center"/>
            <w:hideMark/>
          </w:tcPr>
          <w:p w14:paraId="7E18E90E" w14:textId="4E2232D7" w:rsidR="009227B6" w:rsidRPr="009227B6" w:rsidRDefault="009227B6" w:rsidP="009227B6">
            <w:pPr>
              <w:jc w:val="center"/>
            </w:pPr>
            <w:r w:rsidRPr="009227B6">
              <w:t>0.4</w:t>
            </w:r>
            <w:r>
              <w:t>0</w:t>
            </w:r>
          </w:p>
        </w:tc>
        <w:tc>
          <w:tcPr>
            <w:tcW w:w="455" w:type="pct"/>
            <w:shd w:val="clear" w:color="auto" w:fill="auto"/>
            <w:noWrap/>
            <w:hideMark/>
          </w:tcPr>
          <w:p w14:paraId="1CB1C9C1" w14:textId="77777777" w:rsidR="009227B6" w:rsidRPr="009227B6" w:rsidRDefault="009227B6" w:rsidP="009227B6">
            <w:pPr>
              <w:jc w:val="center"/>
            </w:pPr>
          </w:p>
        </w:tc>
        <w:tc>
          <w:tcPr>
            <w:tcW w:w="450" w:type="pct"/>
            <w:shd w:val="clear" w:color="auto" w:fill="auto"/>
            <w:noWrap/>
            <w:hideMark/>
          </w:tcPr>
          <w:p w14:paraId="6B95BAC4" w14:textId="58E757DE" w:rsidR="009227B6" w:rsidRPr="009227B6" w:rsidRDefault="009227B6" w:rsidP="009227B6">
            <w:pPr>
              <w:jc w:val="center"/>
            </w:pPr>
          </w:p>
        </w:tc>
      </w:tr>
      <w:tr w:rsidR="009227B6" w:rsidRPr="009227B6" w14:paraId="5A86982D" w14:textId="77777777" w:rsidTr="00D76EC1">
        <w:trPr>
          <w:trHeight w:val="288"/>
        </w:trPr>
        <w:tc>
          <w:tcPr>
            <w:tcW w:w="455" w:type="pct"/>
            <w:tcBorders>
              <w:bottom w:val="single" w:sz="4" w:space="0" w:color="auto"/>
            </w:tcBorders>
            <w:shd w:val="clear" w:color="auto" w:fill="auto"/>
            <w:vAlign w:val="center"/>
            <w:hideMark/>
          </w:tcPr>
          <w:p w14:paraId="09E9B239" w14:textId="77777777" w:rsidR="009227B6" w:rsidRPr="009227B6" w:rsidRDefault="009227B6" w:rsidP="009227B6">
            <w:r w:rsidRPr="009227B6">
              <w:t>TAB</w:t>
            </w:r>
          </w:p>
        </w:tc>
        <w:tc>
          <w:tcPr>
            <w:tcW w:w="455" w:type="pct"/>
            <w:tcBorders>
              <w:bottom w:val="single" w:sz="4" w:space="0" w:color="auto"/>
            </w:tcBorders>
            <w:shd w:val="clear" w:color="auto" w:fill="auto"/>
            <w:noWrap/>
            <w:vAlign w:val="center"/>
            <w:hideMark/>
          </w:tcPr>
          <w:p w14:paraId="6566E64F" w14:textId="77777777" w:rsidR="009227B6" w:rsidRPr="009227B6" w:rsidRDefault="009227B6" w:rsidP="009227B6">
            <w:pPr>
              <w:jc w:val="center"/>
            </w:pPr>
            <w:r w:rsidRPr="009227B6">
              <w:t>0.54</w:t>
            </w:r>
          </w:p>
        </w:tc>
        <w:tc>
          <w:tcPr>
            <w:tcW w:w="455" w:type="pct"/>
            <w:tcBorders>
              <w:bottom w:val="single" w:sz="4" w:space="0" w:color="auto"/>
            </w:tcBorders>
            <w:shd w:val="clear" w:color="auto" w:fill="auto"/>
            <w:noWrap/>
            <w:vAlign w:val="center"/>
            <w:hideMark/>
          </w:tcPr>
          <w:p w14:paraId="379E47FB" w14:textId="77777777" w:rsidR="009227B6" w:rsidRPr="009227B6" w:rsidRDefault="009227B6" w:rsidP="009227B6">
            <w:pPr>
              <w:jc w:val="center"/>
            </w:pPr>
            <w:r w:rsidRPr="009227B6">
              <w:t>0.06</w:t>
            </w:r>
          </w:p>
        </w:tc>
        <w:tc>
          <w:tcPr>
            <w:tcW w:w="455" w:type="pct"/>
            <w:tcBorders>
              <w:bottom w:val="single" w:sz="4" w:space="0" w:color="auto"/>
            </w:tcBorders>
            <w:shd w:val="clear" w:color="auto" w:fill="auto"/>
            <w:noWrap/>
            <w:vAlign w:val="center"/>
            <w:hideMark/>
          </w:tcPr>
          <w:p w14:paraId="4E3C3582" w14:textId="77777777" w:rsidR="009227B6" w:rsidRPr="009227B6" w:rsidRDefault="009227B6" w:rsidP="009227B6">
            <w:pPr>
              <w:jc w:val="center"/>
            </w:pPr>
            <w:r w:rsidRPr="009227B6">
              <w:t>-0.91</w:t>
            </w:r>
          </w:p>
        </w:tc>
        <w:tc>
          <w:tcPr>
            <w:tcW w:w="455" w:type="pct"/>
            <w:tcBorders>
              <w:bottom w:val="single" w:sz="4" w:space="0" w:color="auto"/>
            </w:tcBorders>
            <w:shd w:val="clear" w:color="auto" w:fill="auto"/>
            <w:noWrap/>
            <w:vAlign w:val="center"/>
            <w:hideMark/>
          </w:tcPr>
          <w:p w14:paraId="76DDA772" w14:textId="77777777" w:rsidR="009227B6" w:rsidRPr="009227B6" w:rsidRDefault="009227B6" w:rsidP="009227B6">
            <w:pPr>
              <w:jc w:val="center"/>
            </w:pPr>
            <w:r w:rsidRPr="009227B6">
              <w:t>0</w:t>
            </w:r>
          </w:p>
        </w:tc>
        <w:tc>
          <w:tcPr>
            <w:tcW w:w="455" w:type="pct"/>
            <w:tcBorders>
              <w:bottom w:val="single" w:sz="4" w:space="0" w:color="auto"/>
            </w:tcBorders>
            <w:shd w:val="clear" w:color="auto" w:fill="auto"/>
            <w:noWrap/>
            <w:vAlign w:val="center"/>
            <w:hideMark/>
          </w:tcPr>
          <w:p w14:paraId="306DBDD8" w14:textId="77777777" w:rsidR="009227B6" w:rsidRPr="009227B6" w:rsidRDefault="009227B6" w:rsidP="009227B6">
            <w:pPr>
              <w:jc w:val="center"/>
            </w:pPr>
            <w:r w:rsidRPr="009227B6">
              <w:t>-0.84</w:t>
            </w:r>
          </w:p>
        </w:tc>
        <w:tc>
          <w:tcPr>
            <w:tcW w:w="455" w:type="pct"/>
            <w:tcBorders>
              <w:bottom w:val="single" w:sz="4" w:space="0" w:color="auto"/>
            </w:tcBorders>
            <w:shd w:val="clear" w:color="auto" w:fill="auto"/>
            <w:noWrap/>
            <w:vAlign w:val="center"/>
            <w:hideMark/>
          </w:tcPr>
          <w:p w14:paraId="7D18E400" w14:textId="77777777" w:rsidR="009227B6" w:rsidRPr="009227B6" w:rsidRDefault="009227B6" w:rsidP="009227B6">
            <w:pPr>
              <w:jc w:val="center"/>
            </w:pPr>
            <w:r w:rsidRPr="009227B6">
              <w:t>0</w:t>
            </w:r>
          </w:p>
        </w:tc>
        <w:tc>
          <w:tcPr>
            <w:tcW w:w="455" w:type="pct"/>
            <w:tcBorders>
              <w:bottom w:val="single" w:sz="4" w:space="0" w:color="auto"/>
            </w:tcBorders>
            <w:shd w:val="clear" w:color="auto" w:fill="auto"/>
            <w:noWrap/>
            <w:vAlign w:val="center"/>
            <w:hideMark/>
          </w:tcPr>
          <w:p w14:paraId="3EEFE0B7" w14:textId="77777777" w:rsidR="009227B6" w:rsidRPr="009227B6" w:rsidRDefault="009227B6" w:rsidP="009227B6">
            <w:pPr>
              <w:jc w:val="center"/>
            </w:pPr>
            <w:r w:rsidRPr="009227B6">
              <w:t>-0.76</w:t>
            </w:r>
          </w:p>
        </w:tc>
        <w:tc>
          <w:tcPr>
            <w:tcW w:w="455" w:type="pct"/>
            <w:tcBorders>
              <w:bottom w:val="single" w:sz="4" w:space="0" w:color="auto"/>
            </w:tcBorders>
            <w:shd w:val="clear" w:color="auto" w:fill="auto"/>
            <w:noWrap/>
            <w:vAlign w:val="center"/>
            <w:hideMark/>
          </w:tcPr>
          <w:p w14:paraId="138CAB1E" w14:textId="77777777" w:rsidR="009227B6" w:rsidRPr="009227B6" w:rsidRDefault="009227B6" w:rsidP="009227B6">
            <w:pPr>
              <w:jc w:val="center"/>
            </w:pPr>
            <w:r w:rsidRPr="009227B6">
              <w:t>0</w:t>
            </w:r>
          </w:p>
        </w:tc>
        <w:tc>
          <w:tcPr>
            <w:tcW w:w="455" w:type="pct"/>
            <w:tcBorders>
              <w:bottom w:val="single" w:sz="4" w:space="0" w:color="auto"/>
            </w:tcBorders>
            <w:shd w:val="clear" w:color="auto" w:fill="auto"/>
            <w:noWrap/>
            <w:vAlign w:val="center"/>
            <w:hideMark/>
          </w:tcPr>
          <w:p w14:paraId="168D6130" w14:textId="77777777" w:rsidR="009227B6" w:rsidRPr="009227B6" w:rsidRDefault="009227B6" w:rsidP="009227B6">
            <w:pPr>
              <w:jc w:val="center"/>
            </w:pPr>
            <w:r w:rsidRPr="009227B6">
              <w:t>0.54</w:t>
            </w:r>
          </w:p>
        </w:tc>
        <w:tc>
          <w:tcPr>
            <w:tcW w:w="450" w:type="pct"/>
            <w:tcBorders>
              <w:bottom w:val="single" w:sz="4" w:space="0" w:color="auto"/>
            </w:tcBorders>
            <w:shd w:val="clear" w:color="auto" w:fill="auto"/>
            <w:noWrap/>
            <w:vAlign w:val="center"/>
            <w:hideMark/>
          </w:tcPr>
          <w:p w14:paraId="48D62642" w14:textId="77777777" w:rsidR="009227B6" w:rsidRPr="009227B6" w:rsidRDefault="009227B6" w:rsidP="009227B6">
            <w:pPr>
              <w:jc w:val="center"/>
            </w:pPr>
            <w:r w:rsidRPr="009227B6">
              <w:t>0.07</w:t>
            </w:r>
          </w:p>
        </w:tc>
      </w:tr>
      <w:tr w:rsidR="009227B6" w:rsidRPr="009227B6" w14:paraId="6E995269" w14:textId="77777777" w:rsidTr="00D76EC1">
        <w:trPr>
          <w:trHeight w:val="288"/>
        </w:trPr>
        <w:tc>
          <w:tcPr>
            <w:tcW w:w="455" w:type="pct"/>
            <w:tcBorders>
              <w:top w:val="single" w:sz="4" w:space="0" w:color="auto"/>
              <w:bottom w:val="single" w:sz="4" w:space="0" w:color="auto"/>
            </w:tcBorders>
            <w:shd w:val="clear" w:color="auto" w:fill="auto"/>
            <w:noWrap/>
            <w:vAlign w:val="bottom"/>
            <w:hideMark/>
          </w:tcPr>
          <w:p w14:paraId="7888ED41" w14:textId="77777777" w:rsidR="009227B6" w:rsidRPr="009227B6" w:rsidRDefault="009227B6">
            <w:r w:rsidRPr="009227B6">
              <w:t> </w:t>
            </w:r>
          </w:p>
        </w:tc>
        <w:tc>
          <w:tcPr>
            <w:tcW w:w="455" w:type="pct"/>
            <w:tcBorders>
              <w:top w:val="single" w:sz="4" w:space="0" w:color="auto"/>
              <w:bottom w:val="single" w:sz="4" w:space="0" w:color="auto"/>
            </w:tcBorders>
            <w:shd w:val="clear" w:color="auto" w:fill="auto"/>
            <w:vAlign w:val="center"/>
            <w:hideMark/>
          </w:tcPr>
          <w:p w14:paraId="3802E0EF" w14:textId="77777777" w:rsidR="009227B6" w:rsidRPr="009227B6" w:rsidRDefault="009227B6" w:rsidP="009227B6">
            <w:pPr>
              <w:jc w:val="center"/>
            </w:pPr>
            <w:r w:rsidRPr="009227B6">
              <w:t>CB</w:t>
            </w:r>
          </w:p>
        </w:tc>
        <w:tc>
          <w:tcPr>
            <w:tcW w:w="455" w:type="pct"/>
            <w:tcBorders>
              <w:top w:val="single" w:sz="4" w:space="0" w:color="auto"/>
              <w:bottom w:val="single" w:sz="4" w:space="0" w:color="auto"/>
            </w:tcBorders>
            <w:shd w:val="clear" w:color="auto" w:fill="auto"/>
            <w:noWrap/>
            <w:vAlign w:val="bottom"/>
            <w:hideMark/>
          </w:tcPr>
          <w:p w14:paraId="617BF049" w14:textId="3E22D476"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6ABE1AF3" w14:textId="77777777" w:rsidR="009227B6" w:rsidRPr="009227B6" w:rsidRDefault="009227B6" w:rsidP="009227B6">
            <w:pPr>
              <w:jc w:val="center"/>
            </w:pPr>
            <w:r w:rsidRPr="009227B6">
              <w:t>CH</w:t>
            </w:r>
          </w:p>
        </w:tc>
        <w:tc>
          <w:tcPr>
            <w:tcW w:w="455" w:type="pct"/>
            <w:tcBorders>
              <w:top w:val="single" w:sz="4" w:space="0" w:color="auto"/>
              <w:bottom w:val="single" w:sz="4" w:space="0" w:color="auto"/>
            </w:tcBorders>
            <w:shd w:val="clear" w:color="auto" w:fill="auto"/>
            <w:noWrap/>
            <w:vAlign w:val="bottom"/>
            <w:hideMark/>
          </w:tcPr>
          <w:p w14:paraId="1A1CD4D7" w14:textId="593D9386"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5F1DF98C" w14:textId="77777777" w:rsidR="009227B6" w:rsidRPr="009227B6" w:rsidRDefault="009227B6" w:rsidP="009227B6">
            <w:pPr>
              <w:jc w:val="center"/>
            </w:pPr>
            <w:r w:rsidRPr="009227B6">
              <w:t>AB</w:t>
            </w:r>
          </w:p>
        </w:tc>
        <w:tc>
          <w:tcPr>
            <w:tcW w:w="455" w:type="pct"/>
            <w:tcBorders>
              <w:top w:val="single" w:sz="4" w:space="0" w:color="auto"/>
              <w:bottom w:val="single" w:sz="4" w:space="0" w:color="auto"/>
            </w:tcBorders>
            <w:shd w:val="clear" w:color="auto" w:fill="auto"/>
            <w:noWrap/>
            <w:vAlign w:val="bottom"/>
            <w:hideMark/>
          </w:tcPr>
          <w:p w14:paraId="1BFB479A" w14:textId="2A5161A9"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11F6AD53" w14:textId="77777777" w:rsidR="009227B6" w:rsidRPr="009227B6" w:rsidRDefault="009227B6" w:rsidP="009227B6">
            <w:pPr>
              <w:jc w:val="center"/>
            </w:pPr>
            <w:r w:rsidRPr="009227B6">
              <w:t>LH</w:t>
            </w:r>
          </w:p>
        </w:tc>
        <w:tc>
          <w:tcPr>
            <w:tcW w:w="455" w:type="pct"/>
            <w:tcBorders>
              <w:top w:val="single" w:sz="4" w:space="0" w:color="auto"/>
              <w:bottom w:val="single" w:sz="4" w:space="0" w:color="auto"/>
            </w:tcBorders>
            <w:shd w:val="clear" w:color="auto" w:fill="auto"/>
            <w:noWrap/>
            <w:vAlign w:val="bottom"/>
            <w:hideMark/>
          </w:tcPr>
          <w:p w14:paraId="3F63FC7B" w14:textId="0F1C4C0A"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79D9BE6A" w14:textId="77777777" w:rsidR="009227B6" w:rsidRPr="009227B6" w:rsidRDefault="009227B6" w:rsidP="009227B6">
            <w:pPr>
              <w:jc w:val="center"/>
            </w:pPr>
            <w:r w:rsidRPr="009227B6">
              <w:t>CAB</w:t>
            </w:r>
          </w:p>
        </w:tc>
        <w:tc>
          <w:tcPr>
            <w:tcW w:w="450" w:type="pct"/>
            <w:tcBorders>
              <w:top w:val="single" w:sz="4" w:space="0" w:color="auto"/>
              <w:bottom w:val="single" w:sz="4" w:space="0" w:color="auto"/>
            </w:tcBorders>
            <w:shd w:val="clear" w:color="auto" w:fill="auto"/>
            <w:noWrap/>
            <w:vAlign w:val="bottom"/>
            <w:hideMark/>
          </w:tcPr>
          <w:p w14:paraId="316AF081" w14:textId="4B9DE596" w:rsidR="009227B6" w:rsidRPr="009227B6" w:rsidRDefault="009227B6" w:rsidP="009227B6">
            <w:pPr>
              <w:jc w:val="center"/>
            </w:pPr>
          </w:p>
        </w:tc>
      </w:tr>
      <w:tr w:rsidR="009227B6" w:rsidRPr="009227B6" w14:paraId="0DD985B6" w14:textId="77777777" w:rsidTr="00D76EC1">
        <w:trPr>
          <w:trHeight w:val="288"/>
        </w:trPr>
        <w:tc>
          <w:tcPr>
            <w:tcW w:w="455" w:type="pct"/>
            <w:tcBorders>
              <w:top w:val="single" w:sz="4" w:space="0" w:color="auto"/>
            </w:tcBorders>
            <w:shd w:val="clear" w:color="auto" w:fill="auto"/>
            <w:vAlign w:val="center"/>
            <w:hideMark/>
          </w:tcPr>
          <w:p w14:paraId="0AFB8647" w14:textId="77777777" w:rsidR="009227B6" w:rsidRPr="009227B6" w:rsidRDefault="009227B6">
            <w:r w:rsidRPr="009227B6">
              <w:t>T3</w:t>
            </w:r>
          </w:p>
        </w:tc>
        <w:tc>
          <w:tcPr>
            <w:tcW w:w="455" w:type="pct"/>
            <w:tcBorders>
              <w:top w:val="single" w:sz="4" w:space="0" w:color="auto"/>
            </w:tcBorders>
            <w:shd w:val="clear" w:color="auto" w:fill="auto"/>
            <w:vAlign w:val="center"/>
            <w:hideMark/>
          </w:tcPr>
          <w:p w14:paraId="6E5AF648" w14:textId="77777777" w:rsidR="009227B6" w:rsidRPr="009227B6" w:rsidRDefault="009227B6" w:rsidP="009227B6">
            <w:pPr>
              <w:jc w:val="center"/>
            </w:pPr>
            <w:r w:rsidRPr="009227B6">
              <w:t>r</w:t>
            </w:r>
          </w:p>
        </w:tc>
        <w:tc>
          <w:tcPr>
            <w:tcW w:w="455" w:type="pct"/>
            <w:tcBorders>
              <w:top w:val="single" w:sz="4" w:space="0" w:color="auto"/>
            </w:tcBorders>
            <w:shd w:val="clear" w:color="auto" w:fill="auto"/>
            <w:vAlign w:val="center"/>
            <w:hideMark/>
          </w:tcPr>
          <w:p w14:paraId="32A7139B"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4EA7E711" w14:textId="77777777" w:rsidR="009227B6" w:rsidRPr="009227B6" w:rsidRDefault="009227B6" w:rsidP="009227B6">
            <w:pPr>
              <w:jc w:val="center"/>
            </w:pPr>
            <w:r w:rsidRPr="009227B6">
              <w:t>r</w:t>
            </w:r>
          </w:p>
        </w:tc>
        <w:tc>
          <w:tcPr>
            <w:tcW w:w="455" w:type="pct"/>
            <w:tcBorders>
              <w:top w:val="single" w:sz="4" w:space="0" w:color="auto"/>
            </w:tcBorders>
            <w:shd w:val="clear" w:color="auto" w:fill="auto"/>
            <w:vAlign w:val="center"/>
            <w:hideMark/>
          </w:tcPr>
          <w:p w14:paraId="1A585523"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49C6F103" w14:textId="77777777" w:rsidR="009227B6" w:rsidRPr="009227B6" w:rsidRDefault="009227B6" w:rsidP="009227B6">
            <w:pPr>
              <w:jc w:val="center"/>
            </w:pPr>
            <w:r w:rsidRPr="009227B6">
              <w:t>r</w:t>
            </w:r>
          </w:p>
        </w:tc>
        <w:tc>
          <w:tcPr>
            <w:tcW w:w="455" w:type="pct"/>
            <w:tcBorders>
              <w:top w:val="single" w:sz="4" w:space="0" w:color="auto"/>
            </w:tcBorders>
            <w:shd w:val="clear" w:color="auto" w:fill="auto"/>
            <w:vAlign w:val="center"/>
            <w:hideMark/>
          </w:tcPr>
          <w:p w14:paraId="7018DD00"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04E32BD6" w14:textId="77777777" w:rsidR="009227B6" w:rsidRPr="009227B6" w:rsidRDefault="009227B6" w:rsidP="009227B6">
            <w:pPr>
              <w:jc w:val="center"/>
            </w:pPr>
            <w:r w:rsidRPr="009227B6">
              <w:t>r</w:t>
            </w:r>
          </w:p>
        </w:tc>
        <w:tc>
          <w:tcPr>
            <w:tcW w:w="455" w:type="pct"/>
            <w:tcBorders>
              <w:top w:val="single" w:sz="4" w:space="0" w:color="auto"/>
            </w:tcBorders>
            <w:shd w:val="clear" w:color="auto" w:fill="auto"/>
            <w:vAlign w:val="center"/>
            <w:hideMark/>
          </w:tcPr>
          <w:p w14:paraId="1A155456"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3F51256F" w14:textId="77777777" w:rsidR="009227B6" w:rsidRPr="009227B6" w:rsidRDefault="009227B6" w:rsidP="009227B6">
            <w:pPr>
              <w:jc w:val="center"/>
            </w:pPr>
            <w:r w:rsidRPr="009227B6">
              <w:t>r</w:t>
            </w:r>
          </w:p>
        </w:tc>
        <w:tc>
          <w:tcPr>
            <w:tcW w:w="450" w:type="pct"/>
            <w:tcBorders>
              <w:top w:val="single" w:sz="4" w:space="0" w:color="auto"/>
            </w:tcBorders>
            <w:shd w:val="clear" w:color="auto" w:fill="auto"/>
            <w:vAlign w:val="center"/>
            <w:hideMark/>
          </w:tcPr>
          <w:p w14:paraId="2715E406" w14:textId="77777777" w:rsidR="009227B6" w:rsidRPr="009227B6" w:rsidRDefault="009227B6" w:rsidP="009227B6">
            <w:pPr>
              <w:jc w:val="center"/>
            </w:pPr>
            <w:r w:rsidRPr="009227B6">
              <w:t>2-t</w:t>
            </w:r>
          </w:p>
        </w:tc>
      </w:tr>
      <w:tr w:rsidR="009227B6" w:rsidRPr="009227B6" w14:paraId="743DC7FA" w14:textId="77777777" w:rsidTr="00D76EC1">
        <w:trPr>
          <w:trHeight w:val="288"/>
        </w:trPr>
        <w:tc>
          <w:tcPr>
            <w:tcW w:w="455" w:type="pct"/>
            <w:shd w:val="clear" w:color="auto" w:fill="auto"/>
            <w:vAlign w:val="center"/>
            <w:hideMark/>
          </w:tcPr>
          <w:p w14:paraId="6CEB4E30" w14:textId="77777777" w:rsidR="009227B6" w:rsidRPr="009227B6" w:rsidRDefault="009227B6" w:rsidP="009227B6">
            <w:r w:rsidRPr="009227B6">
              <w:t>CH</w:t>
            </w:r>
          </w:p>
        </w:tc>
        <w:tc>
          <w:tcPr>
            <w:tcW w:w="455" w:type="pct"/>
            <w:shd w:val="clear" w:color="auto" w:fill="auto"/>
            <w:noWrap/>
            <w:vAlign w:val="center"/>
            <w:hideMark/>
          </w:tcPr>
          <w:p w14:paraId="1A2374B0" w14:textId="1105344E" w:rsidR="009227B6" w:rsidRPr="009227B6" w:rsidRDefault="009227B6" w:rsidP="009227B6">
            <w:pPr>
              <w:jc w:val="center"/>
            </w:pPr>
            <w:r w:rsidRPr="009227B6">
              <w:t>-0.6</w:t>
            </w:r>
            <w:r>
              <w:t>0</w:t>
            </w:r>
          </w:p>
        </w:tc>
        <w:tc>
          <w:tcPr>
            <w:tcW w:w="455" w:type="pct"/>
            <w:shd w:val="clear" w:color="auto" w:fill="auto"/>
            <w:noWrap/>
            <w:vAlign w:val="center"/>
            <w:hideMark/>
          </w:tcPr>
          <w:p w14:paraId="5D40311E" w14:textId="77777777" w:rsidR="009227B6" w:rsidRPr="009227B6" w:rsidRDefault="009227B6" w:rsidP="009227B6">
            <w:pPr>
              <w:jc w:val="center"/>
            </w:pPr>
            <w:r w:rsidRPr="009227B6">
              <w:t>0.04</w:t>
            </w:r>
          </w:p>
        </w:tc>
        <w:tc>
          <w:tcPr>
            <w:tcW w:w="455" w:type="pct"/>
            <w:shd w:val="clear" w:color="auto" w:fill="auto"/>
            <w:noWrap/>
            <w:hideMark/>
          </w:tcPr>
          <w:p w14:paraId="02A93A0C" w14:textId="77777777" w:rsidR="009227B6" w:rsidRPr="009227B6" w:rsidRDefault="009227B6" w:rsidP="009227B6">
            <w:pPr>
              <w:jc w:val="center"/>
            </w:pPr>
          </w:p>
        </w:tc>
        <w:tc>
          <w:tcPr>
            <w:tcW w:w="455" w:type="pct"/>
            <w:shd w:val="clear" w:color="auto" w:fill="auto"/>
            <w:noWrap/>
            <w:hideMark/>
          </w:tcPr>
          <w:p w14:paraId="31249249" w14:textId="77777777" w:rsidR="009227B6" w:rsidRPr="009227B6" w:rsidRDefault="009227B6" w:rsidP="009227B6">
            <w:pPr>
              <w:jc w:val="center"/>
            </w:pPr>
          </w:p>
        </w:tc>
        <w:tc>
          <w:tcPr>
            <w:tcW w:w="455" w:type="pct"/>
            <w:shd w:val="clear" w:color="auto" w:fill="auto"/>
            <w:noWrap/>
            <w:hideMark/>
          </w:tcPr>
          <w:p w14:paraId="630CCFA3" w14:textId="77777777" w:rsidR="009227B6" w:rsidRPr="009227B6" w:rsidRDefault="009227B6" w:rsidP="009227B6">
            <w:pPr>
              <w:jc w:val="center"/>
            </w:pPr>
          </w:p>
        </w:tc>
        <w:tc>
          <w:tcPr>
            <w:tcW w:w="455" w:type="pct"/>
            <w:shd w:val="clear" w:color="auto" w:fill="auto"/>
            <w:noWrap/>
            <w:hideMark/>
          </w:tcPr>
          <w:p w14:paraId="7D869E3E" w14:textId="77777777" w:rsidR="009227B6" w:rsidRPr="009227B6" w:rsidRDefault="009227B6" w:rsidP="009227B6">
            <w:pPr>
              <w:jc w:val="center"/>
            </w:pPr>
          </w:p>
        </w:tc>
        <w:tc>
          <w:tcPr>
            <w:tcW w:w="455" w:type="pct"/>
            <w:shd w:val="clear" w:color="auto" w:fill="auto"/>
            <w:noWrap/>
            <w:hideMark/>
          </w:tcPr>
          <w:p w14:paraId="30719E4B" w14:textId="77777777" w:rsidR="009227B6" w:rsidRPr="009227B6" w:rsidRDefault="009227B6" w:rsidP="009227B6">
            <w:pPr>
              <w:jc w:val="center"/>
            </w:pPr>
          </w:p>
        </w:tc>
        <w:tc>
          <w:tcPr>
            <w:tcW w:w="455" w:type="pct"/>
            <w:shd w:val="clear" w:color="auto" w:fill="auto"/>
            <w:noWrap/>
            <w:hideMark/>
          </w:tcPr>
          <w:p w14:paraId="11D28122" w14:textId="77777777" w:rsidR="009227B6" w:rsidRPr="009227B6" w:rsidRDefault="009227B6" w:rsidP="009227B6">
            <w:pPr>
              <w:jc w:val="center"/>
            </w:pPr>
          </w:p>
        </w:tc>
        <w:tc>
          <w:tcPr>
            <w:tcW w:w="455" w:type="pct"/>
            <w:shd w:val="clear" w:color="auto" w:fill="auto"/>
            <w:noWrap/>
            <w:hideMark/>
          </w:tcPr>
          <w:p w14:paraId="53B0BFAE" w14:textId="77777777" w:rsidR="009227B6" w:rsidRPr="009227B6" w:rsidRDefault="009227B6" w:rsidP="009227B6">
            <w:pPr>
              <w:jc w:val="center"/>
            </w:pPr>
          </w:p>
        </w:tc>
        <w:tc>
          <w:tcPr>
            <w:tcW w:w="450" w:type="pct"/>
            <w:shd w:val="clear" w:color="auto" w:fill="auto"/>
            <w:noWrap/>
            <w:vAlign w:val="bottom"/>
            <w:hideMark/>
          </w:tcPr>
          <w:p w14:paraId="3EB6573E" w14:textId="037D900D" w:rsidR="009227B6" w:rsidRPr="009227B6" w:rsidRDefault="009227B6" w:rsidP="009227B6">
            <w:pPr>
              <w:jc w:val="center"/>
            </w:pPr>
          </w:p>
        </w:tc>
      </w:tr>
      <w:tr w:rsidR="009227B6" w:rsidRPr="009227B6" w14:paraId="09838D47" w14:textId="77777777" w:rsidTr="00D76EC1">
        <w:trPr>
          <w:trHeight w:val="288"/>
        </w:trPr>
        <w:tc>
          <w:tcPr>
            <w:tcW w:w="455" w:type="pct"/>
            <w:shd w:val="clear" w:color="auto" w:fill="auto"/>
            <w:vAlign w:val="center"/>
            <w:hideMark/>
          </w:tcPr>
          <w:p w14:paraId="012DB597" w14:textId="77777777" w:rsidR="009227B6" w:rsidRPr="009227B6" w:rsidRDefault="009227B6" w:rsidP="009227B6">
            <w:r w:rsidRPr="009227B6">
              <w:t>AB</w:t>
            </w:r>
          </w:p>
        </w:tc>
        <w:tc>
          <w:tcPr>
            <w:tcW w:w="455" w:type="pct"/>
            <w:shd w:val="clear" w:color="auto" w:fill="auto"/>
            <w:noWrap/>
            <w:vAlign w:val="center"/>
            <w:hideMark/>
          </w:tcPr>
          <w:p w14:paraId="519C0765" w14:textId="77777777" w:rsidR="009227B6" w:rsidRPr="009227B6" w:rsidRDefault="009227B6" w:rsidP="009227B6">
            <w:pPr>
              <w:jc w:val="center"/>
            </w:pPr>
            <w:r w:rsidRPr="009227B6">
              <w:t>-0.56</w:t>
            </w:r>
          </w:p>
        </w:tc>
        <w:tc>
          <w:tcPr>
            <w:tcW w:w="455" w:type="pct"/>
            <w:shd w:val="clear" w:color="auto" w:fill="auto"/>
            <w:noWrap/>
            <w:vAlign w:val="center"/>
            <w:hideMark/>
          </w:tcPr>
          <w:p w14:paraId="69D4879B" w14:textId="77777777" w:rsidR="009227B6" w:rsidRPr="009227B6" w:rsidRDefault="009227B6" w:rsidP="009227B6">
            <w:pPr>
              <w:jc w:val="center"/>
            </w:pPr>
            <w:r w:rsidRPr="009227B6">
              <w:t>0.06</w:t>
            </w:r>
          </w:p>
        </w:tc>
        <w:tc>
          <w:tcPr>
            <w:tcW w:w="455" w:type="pct"/>
            <w:shd w:val="clear" w:color="auto" w:fill="auto"/>
            <w:noWrap/>
            <w:vAlign w:val="center"/>
            <w:hideMark/>
          </w:tcPr>
          <w:p w14:paraId="1963296A" w14:textId="77777777" w:rsidR="009227B6" w:rsidRPr="009227B6" w:rsidRDefault="009227B6" w:rsidP="009227B6">
            <w:pPr>
              <w:jc w:val="center"/>
            </w:pPr>
            <w:r w:rsidRPr="009227B6">
              <w:t>0.99</w:t>
            </w:r>
          </w:p>
        </w:tc>
        <w:tc>
          <w:tcPr>
            <w:tcW w:w="455" w:type="pct"/>
            <w:shd w:val="clear" w:color="auto" w:fill="auto"/>
            <w:noWrap/>
            <w:vAlign w:val="center"/>
            <w:hideMark/>
          </w:tcPr>
          <w:p w14:paraId="0C3894C3" w14:textId="77777777" w:rsidR="009227B6" w:rsidRPr="009227B6" w:rsidRDefault="009227B6" w:rsidP="009227B6">
            <w:pPr>
              <w:jc w:val="center"/>
            </w:pPr>
            <w:r w:rsidRPr="009227B6">
              <w:t>0</w:t>
            </w:r>
          </w:p>
        </w:tc>
        <w:tc>
          <w:tcPr>
            <w:tcW w:w="455" w:type="pct"/>
            <w:shd w:val="clear" w:color="auto" w:fill="auto"/>
            <w:noWrap/>
            <w:hideMark/>
          </w:tcPr>
          <w:p w14:paraId="71AFBABA" w14:textId="77777777" w:rsidR="009227B6" w:rsidRPr="009227B6" w:rsidRDefault="009227B6" w:rsidP="009227B6">
            <w:pPr>
              <w:jc w:val="center"/>
            </w:pPr>
          </w:p>
        </w:tc>
        <w:tc>
          <w:tcPr>
            <w:tcW w:w="455" w:type="pct"/>
            <w:shd w:val="clear" w:color="auto" w:fill="auto"/>
            <w:noWrap/>
            <w:hideMark/>
          </w:tcPr>
          <w:p w14:paraId="7D9B731E" w14:textId="77777777" w:rsidR="009227B6" w:rsidRPr="009227B6" w:rsidRDefault="009227B6" w:rsidP="009227B6">
            <w:pPr>
              <w:jc w:val="center"/>
            </w:pPr>
          </w:p>
        </w:tc>
        <w:tc>
          <w:tcPr>
            <w:tcW w:w="455" w:type="pct"/>
            <w:shd w:val="clear" w:color="auto" w:fill="auto"/>
            <w:noWrap/>
            <w:hideMark/>
          </w:tcPr>
          <w:p w14:paraId="4F9C4859" w14:textId="77777777" w:rsidR="009227B6" w:rsidRPr="009227B6" w:rsidRDefault="009227B6" w:rsidP="009227B6">
            <w:pPr>
              <w:jc w:val="center"/>
            </w:pPr>
          </w:p>
        </w:tc>
        <w:tc>
          <w:tcPr>
            <w:tcW w:w="455" w:type="pct"/>
            <w:shd w:val="clear" w:color="auto" w:fill="auto"/>
            <w:noWrap/>
            <w:hideMark/>
          </w:tcPr>
          <w:p w14:paraId="39906150" w14:textId="77777777" w:rsidR="009227B6" w:rsidRPr="009227B6" w:rsidRDefault="009227B6" w:rsidP="009227B6">
            <w:pPr>
              <w:jc w:val="center"/>
            </w:pPr>
          </w:p>
        </w:tc>
        <w:tc>
          <w:tcPr>
            <w:tcW w:w="455" w:type="pct"/>
            <w:shd w:val="clear" w:color="auto" w:fill="auto"/>
            <w:noWrap/>
            <w:hideMark/>
          </w:tcPr>
          <w:p w14:paraId="72F211E0" w14:textId="77777777" w:rsidR="009227B6" w:rsidRPr="009227B6" w:rsidRDefault="009227B6" w:rsidP="009227B6">
            <w:pPr>
              <w:jc w:val="center"/>
            </w:pPr>
          </w:p>
        </w:tc>
        <w:tc>
          <w:tcPr>
            <w:tcW w:w="450" w:type="pct"/>
            <w:shd w:val="clear" w:color="auto" w:fill="auto"/>
            <w:noWrap/>
            <w:hideMark/>
          </w:tcPr>
          <w:p w14:paraId="4BA4BA15" w14:textId="030BED10" w:rsidR="009227B6" w:rsidRPr="009227B6" w:rsidRDefault="009227B6" w:rsidP="009227B6">
            <w:pPr>
              <w:jc w:val="center"/>
            </w:pPr>
          </w:p>
        </w:tc>
      </w:tr>
      <w:tr w:rsidR="009227B6" w:rsidRPr="009227B6" w14:paraId="11A4A8D3" w14:textId="77777777" w:rsidTr="00D76EC1">
        <w:trPr>
          <w:trHeight w:val="288"/>
        </w:trPr>
        <w:tc>
          <w:tcPr>
            <w:tcW w:w="455" w:type="pct"/>
            <w:shd w:val="clear" w:color="auto" w:fill="auto"/>
            <w:vAlign w:val="center"/>
            <w:hideMark/>
          </w:tcPr>
          <w:p w14:paraId="16CF8183" w14:textId="77777777" w:rsidR="009227B6" w:rsidRPr="009227B6" w:rsidRDefault="009227B6" w:rsidP="009227B6">
            <w:r w:rsidRPr="009227B6">
              <w:t>LH</w:t>
            </w:r>
          </w:p>
        </w:tc>
        <w:tc>
          <w:tcPr>
            <w:tcW w:w="455" w:type="pct"/>
            <w:shd w:val="clear" w:color="auto" w:fill="auto"/>
            <w:noWrap/>
            <w:vAlign w:val="center"/>
            <w:hideMark/>
          </w:tcPr>
          <w:p w14:paraId="31A83237" w14:textId="77777777" w:rsidR="009227B6" w:rsidRPr="009227B6" w:rsidRDefault="009227B6" w:rsidP="009227B6">
            <w:pPr>
              <w:jc w:val="center"/>
            </w:pPr>
            <w:r w:rsidRPr="009227B6">
              <w:t>-0.63</w:t>
            </w:r>
          </w:p>
        </w:tc>
        <w:tc>
          <w:tcPr>
            <w:tcW w:w="455" w:type="pct"/>
            <w:shd w:val="clear" w:color="auto" w:fill="auto"/>
            <w:noWrap/>
            <w:vAlign w:val="center"/>
            <w:hideMark/>
          </w:tcPr>
          <w:p w14:paraId="1C9B4797" w14:textId="77777777" w:rsidR="009227B6" w:rsidRPr="009227B6" w:rsidRDefault="009227B6" w:rsidP="009227B6">
            <w:pPr>
              <w:jc w:val="center"/>
            </w:pPr>
            <w:r w:rsidRPr="009227B6">
              <w:t>0.03</w:t>
            </w:r>
          </w:p>
        </w:tc>
        <w:tc>
          <w:tcPr>
            <w:tcW w:w="455" w:type="pct"/>
            <w:shd w:val="clear" w:color="auto" w:fill="auto"/>
            <w:noWrap/>
            <w:vAlign w:val="center"/>
            <w:hideMark/>
          </w:tcPr>
          <w:p w14:paraId="0C163D02" w14:textId="77777777" w:rsidR="009227B6" w:rsidRPr="009227B6" w:rsidRDefault="009227B6" w:rsidP="009227B6">
            <w:pPr>
              <w:jc w:val="center"/>
            </w:pPr>
            <w:r w:rsidRPr="009227B6">
              <w:t>0.96</w:t>
            </w:r>
          </w:p>
        </w:tc>
        <w:tc>
          <w:tcPr>
            <w:tcW w:w="455" w:type="pct"/>
            <w:shd w:val="clear" w:color="auto" w:fill="auto"/>
            <w:noWrap/>
            <w:vAlign w:val="center"/>
            <w:hideMark/>
          </w:tcPr>
          <w:p w14:paraId="4C2F1E56" w14:textId="77777777" w:rsidR="009227B6" w:rsidRPr="009227B6" w:rsidRDefault="009227B6" w:rsidP="009227B6">
            <w:pPr>
              <w:jc w:val="center"/>
            </w:pPr>
            <w:r w:rsidRPr="009227B6">
              <w:t>0</w:t>
            </w:r>
          </w:p>
        </w:tc>
        <w:tc>
          <w:tcPr>
            <w:tcW w:w="455" w:type="pct"/>
            <w:shd w:val="clear" w:color="auto" w:fill="auto"/>
            <w:noWrap/>
            <w:vAlign w:val="center"/>
            <w:hideMark/>
          </w:tcPr>
          <w:p w14:paraId="46ABB451" w14:textId="77777777" w:rsidR="009227B6" w:rsidRPr="009227B6" w:rsidRDefault="009227B6" w:rsidP="009227B6">
            <w:pPr>
              <w:jc w:val="center"/>
            </w:pPr>
            <w:r w:rsidRPr="009227B6">
              <w:t>0.97</w:t>
            </w:r>
          </w:p>
        </w:tc>
        <w:tc>
          <w:tcPr>
            <w:tcW w:w="455" w:type="pct"/>
            <w:shd w:val="clear" w:color="auto" w:fill="auto"/>
            <w:noWrap/>
            <w:vAlign w:val="center"/>
            <w:hideMark/>
          </w:tcPr>
          <w:p w14:paraId="4431508E" w14:textId="77777777" w:rsidR="009227B6" w:rsidRPr="009227B6" w:rsidRDefault="009227B6" w:rsidP="009227B6">
            <w:pPr>
              <w:jc w:val="center"/>
            </w:pPr>
            <w:r w:rsidRPr="009227B6">
              <w:t>0</w:t>
            </w:r>
          </w:p>
        </w:tc>
        <w:tc>
          <w:tcPr>
            <w:tcW w:w="455" w:type="pct"/>
            <w:shd w:val="clear" w:color="auto" w:fill="auto"/>
            <w:noWrap/>
            <w:hideMark/>
          </w:tcPr>
          <w:p w14:paraId="32EC3C37" w14:textId="77777777" w:rsidR="009227B6" w:rsidRPr="009227B6" w:rsidRDefault="009227B6" w:rsidP="009227B6">
            <w:pPr>
              <w:jc w:val="center"/>
            </w:pPr>
          </w:p>
        </w:tc>
        <w:tc>
          <w:tcPr>
            <w:tcW w:w="455" w:type="pct"/>
            <w:shd w:val="clear" w:color="auto" w:fill="auto"/>
            <w:noWrap/>
            <w:hideMark/>
          </w:tcPr>
          <w:p w14:paraId="2BCEE1A6" w14:textId="77777777" w:rsidR="009227B6" w:rsidRPr="009227B6" w:rsidRDefault="009227B6" w:rsidP="009227B6">
            <w:pPr>
              <w:jc w:val="center"/>
            </w:pPr>
          </w:p>
        </w:tc>
        <w:tc>
          <w:tcPr>
            <w:tcW w:w="455" w:type="pct"/>
            <w:shd w:val="clear" w:color="auto" w:fill="auto"/>
            <w:noWrap/>
            <w:hideMark/>
          </w:tcPr>
          <w:p w14:paraId="3AB364B6" w14:textId="77777777" w:rsidR="009227B6" w:rsidRPr="009227B6" w:rsidRDefault="009227B6" w:rsidP="009227B6">
            <w:pPr>
              <w:jc w:val="center"/>
            </w:pPr>
          </w:p>
        </w:tc>
        <w:tc>
          <w:tcPr>
            <w:tcW w:w="450" w:type="pct"/>
            <w:shd w:val="clear" w:color="auto" w:fill="auto"/>
            <w:noWrap/>
            <w:hideMark/>
          </w:tcPr>
          <w:p w14:paraId="0F2B77EE" w14:textId="7B9223F9" w:rsidR="009227B6" w:rsidRPr="009227B6" w:rsidRDefault="009227B6" w:rsidP="009227B6">
            <w:pPr>
              <w:jc w:val="center"/>
            </w:pPr>
          </w:p>
        </w:tc>
      </w:tr>
      <w:tr w:rsidR="009227B6" w:rsidRPr="009227B6" w14:paraId="6955C093" w14:textId="77777777" w:rsidTr="00D76EC1">
        <w:trPr>
          <w:trHeight w:val="288"/>
        </w:trPr>
        <w:tc>
          <w:tcPr>
            <w:tcW w:w="455" w:type="pct"/>
            <w:shd w:val="clear" w:color="auto" w:fill="auto"/>
            <w:vAlign w:val="center"/>
            <w:hideMark/>
          </w:tcPr>
          <w:p w14:paraId="74ED6570" w14:textId="77777777" w:rsidR="009227B6" w:rsidRPr="009227B6" w:rsidRDefault="009227B6" w:rsidP="009227B6">
            <w:r w:rsidRPr="009227B6">
              <w:t>CAB</w:t>
            </w:r>
          </w:p>
        </w:tc>
        <w:tc>
          <w:tcPr>
            <w:tcW w:w="455" w:type="pct"/>
            <w:shd w:val="clear" w:color="auto" w:fill="auto"/>
            <w:noWrap/>
            <w:vAlign w:val="center"/>
            <w:hideMark/>
          </w:tcPr>
          <w:p w14:paraId="52598222" w14:textId="77777777" w:rsidR="009227B6" w:rsidRPr="009227B6" w:rsidRDefault="009227B6" w:rsidP="009227B6">
            <w:pPr>
              <w:jc w:val="center"/>
            </w:pPr>
            <w:r w:rsidRPr="009227B6">
              <w:t>0.66</w:t>
            </w:r>
          </w:p>
        </w:tc>
        <w:tc>
          <w:tcPr>
            <w:tcW w:w="455" w:type="pct"/>
            <w:shd w:val="clear" w:color="auto" w:fill="auto"/>
            <w:noWrap/>
            <w:vAlign w:val="center"/>
            <w:hideMark/>
          </w:tcPr>
          <w:p w14:paraId="4EE22359" w14:textId="77777777" w:rsidR="009227B6" w:rsidRPr="009227B6" w:rsidRDefault="009227B6" w:rsidP="009227B6">
            <w:pPr>
              <w:jc w:val="center"/>
            </w:pPr>
            <w:r w:rsidRPr="009227B6">
              <w:t>0.02</w:t>
            </w:r>
          </w:p>
        </w:tc>
        <w:tc>
          <w:tcPr>
            <w:tcW w:w="455" w:type="pct"/>
            <w:shd w:val="clear" w:color="auto" w:fill="auto"/>
            <w:noWrap/>
            <w:vAlign w:val="center"/>
            <w:hideMark/>
          </w:tcPr>
          <w:p w14:paraId="5472F4BB" w14:textId="77777777" w:rsidR="009227B6" w:rsidRPr="009227B6" w:rsidRDefault="009227B6" w:rsidP="009227B6">
            <w:pPr>
              <w:jc w:val="center"/>
            </w:pPr>
            <w:r w:rsidRPr="009227B6">
              <w:t>-0.14</w:t>
            </w:r>
          </w:p>
        </w:tc>
        <w:tc>
          <w:tcPr>
            <w:tcW w:w="455" w:type="pct"/>
            <w:shd w:val="clear" w:color="auto" w:fill="auto"/>
            <w:noWrap/>
            <w:vAlign w:val="center"/>
            <w:hideMark/>
          </w:tcPr>
          <w:p w14:paraId="59239D3F" w14:textId="77777777" w:rsidR="009227B6" w:rsidRPr="009227B6" w:rsidRDefault="009227B6" w:rsidP="009227B6">
            <w:pPr>
              <w:jc w:val="center"/>
            </w:pPr>
            <w:r w:rsidRPr="009227B6">
              <w:t>0.65</w:t>
            </w:r>
          </w:p>
        </w:tc>
        <w:tc>
          <w:tcPr>
            <w:tcW w:w="455" w:type="pct"/>
            <w:shd w:val="clear" w:color="auto" w:fill="auto"/>
            <w:noWrap/>
            <w:vAlign w:val="center"/>
            <w:hideMark/>
          </w:tcPr>
          <w:p w14:paraId="465468A1" w14:textId="77777777" w:rsidR="009227B6" w:rsidRPr="009227B6" w:rsidRDefault="009227B6" w:rsidP="009227B6">
            <w:pPr>
              <w:jc w:val="center"/>
            </w:pPr>
            <w:r w:rsidRPr="009227B6">
              <w:t>-0.11</w:t>
            </w:r>
          </w:p>
        </w:tc>
        <w:tc>
          <w:tcPr>
            <w:tcW w:w="455" w:type="pct"/>
            <w:shd w:val="clear" w:color="auto" w:fill="auto"/>
            <w:noWrap/>
            <w:vAlign w:val="center"/>
            <w:hideMark/>
          </w:tcPr>
          <w:p w14:paraId="2F3ED429" w14:textId="77777777" w:rsidR="009227B6" w:rsidRPr="009227B6" w:rsidRDefault="009227B6" w:rsidP="009227B6">
            <w:pPr>
              <w:jc w:val="center"/>
            </w:pPr>
            <w:r w:rsidRPr="009227B6">
              <w:t>0.73</w:t>
            </w:r>
          </w:p>
        </w:tc>
        <w:tc>
          <w:tcPr>
            <w:tcW w:w="455" w:type="pct"/>
            <w:shd w:val="clear" w:color="auto" w:fill="auto"/>
            <w:noWrap/>
            <w:vAlign w:val="center"/>
            <w:hideMark/>
          </w:tcPr>
          <w:p w14:paraId="185E0369" w14:textId="77777777" w:rsidR="009227B6" w:rsidRPr="009227B6" w:rsidRDefault="009227B6" w:rsidP="009227B6">
            <w:pPr>
              <w:jc w:val="center"/>
            </w:pPr>
            <w:r w:rsidRPr="009227B6">
              <w:t>-0.16</w:t>
            </w:r>
          </w:p>
        </w:tc>
        <w:tc>
          <w:tcPr>
            <w:tcW w:w="455" w:type="pct"/>
            <w:shd w:val="clear" w:color="auto" w:fill="auto"/>
            <w:noWrap/>
            <w:vAlign w:val="center"/>
            <w:hideMark/>
          </w:tcPr>
          <w:p w14:paraId="69B596CD" w14:textId="77777777" w:rsidR="009227B6" w:rsidRPr="009227B6" w:rsidRDefault="009227B6" w:rsidP="009227B6">
            <w:pPr>
              <w:jc w:val="center"/>
            </w:pPr>
            <w:r w:rsidRPr="009227B6">
              <w:t>0.62</w:t>
            </w:r>
          </w:p>
        </w:tc>
        <w:tc>
          <w:tcPr>
            <w:tcW w:w="455" w:type="pct"/>
            <w:shd w:val="clear" w:color="auto" w:fill="auto"/>
            <w:noWrap/>
            <w:hideMark/>
          </w:tcPr>
          <w:p w14:paraId="7667377F" w14:textId="77777777" w:rsidR="009227B6" w:rsidRPr="009227B6" w:rsidRDefault="009227B6" w:rsidP="009227B6">
            <w:pPr>
              <w:jc w:val="center"/>
            </w:pPr>
          </w:p>
        </w:tc>
        <w:tc>
          <w:tcPr>
            <w:tcW w:w="450" w:type="pct"/>
            <w:shd w:val="clear" w:color="auto" w:fill="auto"/>
            <w:noWrap/>
            <w:hideMark/>
          </w:tcPr>
          <w:p w14:paraId="70C8FB18" w14:textId="307B0B42" w:rsidR="009227B6" w:rsidRPr="009227B6" w:rsidRDefault="009227B6" w:rsidP="009227B6">
            <w:pPr>
              <w:jc w:val="center"/>
            </w:pPr>
          </w:p>
        </w:tc>
      </w:tr>
      <w:tr w:rsidR="009227B6" w:rsidRPr="009227B6" w14:paraId="69C92E62" w14:textId="77777777" w:rsidTr="00D76EC1">
        <w:trPr>
          <w:trHeight w:val="288"/>
        </w:trPr>
        <w:tc>
          <w:tcPr>
            <w:tcW w:w="455" w:type="pct"/>
            <w:tcBorders>
              <w:bottom w:val="single" w:sz="4" w:space="0" w:color="auto"/>
            </w:tcBorders>
            <w:shd w:val="clear" w:color="auto" w:fill="auto"/>
            <w:vAlign w:val="center"/>
            <w:hideMark/>
          </w:tcPr>
          <w:p w14:paraId="19C9C728" w14:textId="77777777" w:rsidR="009227B6" w:rsidRPr="009227B6" w:rsidRDefault="009227B6" w:rsidP="009227B6">
            <w:r w:rsidRPr="009227B6">
              <w:t>TAB</w:t>
            </w:r>
          </w:p>
        </w:tc>
        <w:tc>
          <w:tcPr>
            <w:tcW w:w="455" w:type="pct"/>
            <w:tcBorders>
              <w:bottom w:val="single" w:sz="4" w:space="0" w:color="auto"/>
            </w:tcBorders>
            <w:shd w:val="clear" w:color="auto" w:fill="auto"/>
            <w:noWrap/>
            <w:vAlign w:val="center"/>
            <w:hideMark/>
          </w:tcPr>
          <w:p w14:paraId="6CEA17C1" w14:textId="0FB4602B" w:rsidR="009227B6" w:rsidRPr="009227B6" w:rsidRDefault="009227B6" w:rsidP="009227B6">
            <w:pPr>
              <w:jc w:val="center"/>
            </w:pPr>
            <w:r w:rsidRPr="009227B6">
              <w:t>0.6</w:t>
            </w:r>
            <w:r>
              <w:t>0</w:t>
            </w:r>
          </w:p>
        </w:tc>
        <w:tc>
          <w:tcPr>
            <w:tcW w:w="455" w:type="pct"/>
            <w:tcBorders>
              <w:bottom w:val="single" w:sz="4" w:space="0" w:color="auto"/>
            </w:tcBorders>
            <w:shd w:val="clear" w:color="auto" w:fill="auto"/>
            <w:noWrap/>
            <w:vAlign w:val="center"/>
            <w:hideMark/>
          </w:tcPr>
          <w:p w14:paraId="6B9E393A" w14:textId="77777777" w:rsidR="009227B6" w:rsidRPr="009227B6" w:rsidRDefault="009227B6" w:rsidP="009227B6">
            <w:pPr>
              <w:jc w:val="center"/>
            </w:pPr>
            <w:r w:rsidRPr="009227B6">
              <w:t>0.04</w:t>
            </w:r>
          </w:p>
        </w:tc>
        <w:tc>
          <w:tcPr>
            <w:tcW w:w="455" w:type="pct"/>
            <w:tcBorders>
              <w:bottom w:val="single" w:sz="4" w:space="0" w:color="auto"/>
            </w:tcBorders>
            <w:shd w:val="clear" w:color="auto" w:fill="auto"/>
            <w:noWrap/>
            <w:vAlign w:val="center"/>
            <w:hideMark/>
          </w:tcPr>
          <w:p w14:paraId="3006587D" w14:textId="77777777" w:rsidR="009227B6" w:rsidRPr="009227B6" w:rsidRDefault="009227B6" w:rsidP="009227B6">
            <w:pPr>
              <w:jc w:val="center"/>
            </w:pPr>
            <w:r w:rsidRPr="009227B6">
              <w:t>-0.03</w:t>
            </w:r>
          </w:p>
        </w:tc>
        <w:tc>
          <w:tcPr>
            <w:tcW w:w="455" w:type="pct"/>
            <w:tcBorders>
              <w:bottom w:val="single" w:sz="4" w:space="0" w:color="auto"/>
            </w:tcBorders>
            <w:shd w:val="clear" w:color="auto" w:fill="auto"/>
            <w:noWrap/>
            <w:vAlign w:val="center"/>
            <w:hideMark/>
          </w:tcPr>
          <w:p w14:paraId="7E7D74F8" w14:textId="77777777" w:rsidR="009227B6" w:rsidRPr="009227B6" w:rsidRDefault="009227B6" w:rsidP="009227B6">
            <w:pPr>
              <w:jc w:val="center"/>
            </w:pPr>
            <w:r w:rsidRPr="009227B6">
              <w:t>0.93</w:t>
            </w:r>
          </w:p>
        </w:tc>
        <w:tc>
          <w:tcPr>
            <w:tcW w:w="455" w:type="pct"/>
            <w:tcBorders>
              <w:bottom w:val="single" w:sz="4" w:space="0" w:color="auto"/>
            </w:tcBorders>
            <w:shd w:val="clear" w:color="auto" w:fill="auto"/>
            <w:noWrap/>
            <w:vAlign w:val="center"/>
            <w:hideMark/>
          </w:tcPr>
          <w:p w14:paraId="2DFD4BD3" w14:textId="77777777" w:rsidR="009227B6" w:rsidRPr="009227B6" w:rsidRDefault="009227B6" w:rsidP="009227B6">
            <w:pPr>
              <w:jc w:val="center"/>
            </w:pPr>
            <w:r w:rsidRPr="009227B6">
              <w:t>0.02</w:t>
            </w:r>
          </w:p>
        </w:tc>
        <w:tc>
          <w:tcPr>
            <w:tcW w:w="455" w:type="pct"/>
            <w:tcBorders>
              <w:bottom w:val="single" w:sz="4" w:space="0" w:color="auto"/>
            </w:tcBorders>
            <w:shd w:val="clear" w:color="auto" w:fill="auto"/>
            <w:noWrap/>
            <w:vAlign w:val="center"/>
            <w:hideMark/>
          </w:tcPr>
          <w:p w14:paraId="6952AFB2" w14:textId="77777777" w:rsidR="009227B6" w:rsidRPr="009227B6" w:rsidRDefault="009227B6" w:rsidP="009227B6">
            <w:pPr>
              <w:jc w:val="center"/>
            </w:pPr>
            <w:r w:rsidRPr="009227B6">
              <w:t>0.96</w:t>
            </w:r>
          </w:p>
        </w:tc>
        <w:tc>
          <w:tcPr>
            <w:tcW w:w="455" w:type="pct"/>
            <w:tcBorders>
              <w:bottom w:val="single" w:sz="4" w:space="0" w:color="auto"/>
            </w:tcBorders>
            <w:shd w:val="clear" w:color="auto" w:fill="auto"/>
            <w:noWrap/>
            <w:vAlign w:val="center"/>
            <w:hideMark/>
          </w:tcPr>
          <w:p w14:paraId="242B3BE6" w14:textId="77777777" w:rsidR="009227B6" w:rsidRPr="009227B6" w:rsidRDefault="009227B6" w:rsidP="009227B6">
            <w:pPr>
              <w:jc w:val="center"/>
            </w:pPr>
            <w:r w:rsidRPr="009227B6">
              <w:t>-0.07</w:t>
            </w:r>
          </w:p>
        </w:tc>
        <w:tc>
          <w:tcPr>
            <w:tcW w:w="455" w:type="pct"/>
            <w:tcBorders>
              <w:bottom w:val="single" w:sz="4" w:space="0" w:color="auto"/>
            </w:tcBorders>
            <w:shd w:val="clear" w:color="auto" w:fill="auto"/>
            <w:noWrap/>
            <w:vAlign w:val="center"/>
            <w:hideMark/>
          </w:tcPr>
          <w:p w14:paraId="29A5A02D" w14:textId="77777777" w:rsidR="009227B6" w:rsidRPr="009227B6" w:rsidRDefault="009227B6" w:rsidP="009227B6">
            <w:pPr>
              <w:jc w:val="center"/>
            </w:pPr>
            <w:r w:rsidRPr="009227B6">
              <w:t>0.84</w:t>
            </w:r>
          </w:p>
        </w:tc>
        <w:tc>
          <w:tcPr>
            <w:tcW w:w="455" w:type="pct"/>
            <w:tcBorders>
              <w:bottom w:val="single" w:sz="4" w:space="0" w:color="auto"/>
            </w:tcBorders>
            <w:shd w:val="clear" w:color="auto" w:fill="auto"/>
            <w:noWrap/>
            <w:vAlign w:val="center"/>
            <w:hideMark/>
          </w:tcPr>
          <w:p w14:paraId="51FEABF9" w14:textId="77777777" w:rsidR="009227B6" w:rsidRPr="009227B6" w:rsidRDefault="009227B6" w:rsidP="009227B6">
            <w:pPr>
              <w:jc w:val="center"/>
            </w:pPr>
            <w:r w:rsidRPr="009227B6">
              <w:t>0.73</w:t>
            </w:r>
          </w:p>
        </w:tc>
        <w:tc>
          <w:tcPr>
            <w:tcW w:w="450" w:type="pct"/>
            <w:tcBorders>
              <w:bottom w:val="single" w:sz="4" w:space="0" w:color="auto"/>
            </w:tcBorders>
            <w:shd w:val="clear" w:color="auto" w:fill="auto"/>
            <w:noWrap/>
            <w:vAlign w:val="center"/>
            <w:hideMark/>
          </w:tcPr>
          <w:p w14:paraId="32185031" w14:textId="77777777" w:rsidR="009227B6" w:rsidRPr="009227B6" w:rsidRDefault="009227B6" w:rsidP="009227B6">
            <w:pPr>
              <w:jc w:val="center"/>
            </w:pPr>
            <w:r w:rsidRPr="009227B6">
              <w:t>0.01</w:t>
            </w:r>
          </w:p>
        </w:tc>
      </w:tr>
      <w:tr w:rsidR="009227B6" w:rsidRPr="009227B6" w14:paraId="1FA6DE9E" w14:textId="77777777" w:rsidTr="00D76EC1">
        <w:trPr>
          <w:trHeight w:val="288"/>
        </w:trPr>
        <w:tc>
          <w:tcPr>
            <w:tcW w:w="455" w:type="pct"/>
            <w:tcBorders>
              <w:top w:val="single" w:sz="4" w:space="0" w:color="auto"/>
              <w:bottom w:val="single" w:sz="4" w:space="0" w:color="auto"/>
            </w:tcBorders>
            <w:shd w:val="clear" w:color="auto" w:fill="auto"/>
            <w:noWrap/>
            <w:vAlign w:val="bottom"/>
            <w:hideMark/>
          </w:tcPr>
          <w:p w14:paraId="6605437C" w14:textId="77777777" w:rsidR="009227B6" w:rsidRPr="009227B6" w:rsidRDefault="009227B6">
            <w:r w:rsidRPr="009227B6">
              <w:t> </w:t>
            </w:r>
          </w:p>
        </w:tc>
        <w:tc>
          <w:tcPr>
            <w:tcW w:w="455" w:type="pct"/>
            <w:tcBorders>
              <w:top w:val="single" w:sz="4" w:space="0" w:color="auto"/>
              <w:bottom w:val="single" w:sz="4" w:space="0" w:color="auto"/>
            </w:tcBorders>
            <w:shd w:val="clear" w:color="auto" w:fill="auto"/>
            <w:vAlign w:val="center"/>
            <w:hideMark/>
          </w:tcPr>
          <w:p w14:paraId="72FADCBC" w14:textId="77777777" w:rsidR="009227B6" w:rsidRPr="009227B6" w:rsidRDefault="009227B6" w:rsidP="009227B6">
            <w:pPr>
              <w:jc w:val="center"/>
            </w:pPr>
            <w:r w:rsidRPr="009227B6">
              <w:t>CB</w:t>
            </w:r>
          </w:p>
        </w:tc>
        <w:tc>
          <w:tcPr>
            <w:tcW w:w="455" w:type="pct"/>
            <w:tcBorders>
              <w:top w:val="single" w:sz="4" w:space="0" w:color="auto"/>
              <w:bottom w:val="single" w:sz="4" w:space="0" w:color="auto"/>
            </w:tcBorders>
            <w:shd w:val="clear" w:color="auto" w:fill="auto"/>
            <w:noWrap/>
            <w:vAlign w:val="bottom"/>
            <w:hideMark/>
          </w:tcPr>
          <w:p w14:paraId="1CF31FB2" w14:textId="7B6BC0DC"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3613ABD5" w14:textId="77777777" w:rsidR="009227B6" w:rsidRPr="009227B6" w:rsidRDefault="009227B6" w:rsidP="009227B6">
            <w:pPr>
              <w:jc w:val="center"/>
            </w:pPr>
            <w:r w:rsidRPr="009227B6">
              <w:t>CH</w:t>
            </w:r>
          </w:p>
        </w:tc>
        <w:tc>
          <w:tcPr>
            <w:tcW w:w="455" w:type="pct"/>
            <w:tcBorders>
              <w:top w:val="single" w:sz="4" w:space="0" w:color="auto"/>
              <w:bottom w:val="single" w:sz="4" w:space="0" w:color="auto"/>
            </w:tcBorders>
            <w:shd w:val="clear" w:color="auto" w:fill="auto"/>
            <w:noWrap/>
            <w:vAlign w:val="bottom"/>
            <w:hideMark/>
          </w:tcPr>
          <w:p w14:paraId="2BB3DEC0" w14:textId="6FD2A89D"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2E753375" w14:textId="77777777" w:rsidR="009227B6" w:rsidRPr="009227B6" w:rsidRDefault="009227B6" w:rsidP="009227B6">
            <w:pPr>
              <w:jc w:val="center"/>
            </w:pPr>
            <w:r w:rsidRPr="009227B6">
              <w:t>AB</w:t>
            </w:r>
          </w:p>
        </w:tc>
        <w:tc>
          <w:tcPr>
            <w:tcW w:w="455" w:type="pct"/>
            <w:tcBorders>
              <w:top w:val="single" w:sz="4" w:space="0" w:color="auto"/>
              <w:bottom w:val="single" w:sz="4" w:space="0" w:color="auto"/>
            </w:tcBorders>
            <w:shd w:val="clear" w:color="auto" w:fill="auto"/>
            <w:noWrap/>
            <w:vAlign w:val="bottom"/>
            <w:hideMark/>
          </w:tcPr>
          <w:p w14:paraId="6143E2D3" w14:textId="7F9B7010"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046191E5" w14:textId="77777777" w:rsidR="009227B6" w:rsidRPr="009227B6" w:rsidRDefault="009227B6" w:rsidP="009227B6">
            <w:pPr>
              <w:jc w:val="center"/>
            </w:pPr>
            <w:r w:rsidRPr="009227B6">
              <w:t>LH</w:t>
            </w:r>
          </w:p>
        </w:tc>
        <w:tc>
          <w:tcPr>
            <w:tcW w:w="455" w:type="pct"/>
            <w:tcBorders>
              <w:top w:val="single" w:sz="4" w:space="0" w:color="auto"/>
              <w:bottom w:val="single" w:sz="4" w:space="0" w:color="auto"/>
            </w:tcBorders>
            <w:shd w:val="clear" w:color="auto" w:fill="auto"/>
            <w:noWrap/>
            <w:vAlign w:val="bottom"/>
            <w:hideMark/>
          </w:tcPr>
          <w:p w14:paraId="2E26BE7B" w14:textId="09271EB6" w:rsidR="009227B6" w:rsidRPr="009227B6" w:rsidRDefault="009227B6" w:rsidP="009227B6">
            <w:pPr>
              <w:jc w:val="center"/>
            </w:pPr>
          </w:p>
        </w:tc>
        <w:tc>
          <w:tcPr>
            <w:tcW w:w="455" w:type="pct"/>
            <w:tcBorders>
              <w:top w:val="single" w:sz="4" w:space="0" w:color="auto"/>
              <w:bottom w:val="single" w:sz="4" w:space="0" w:color="auto"/>
            </w:tcBorders>
            <w:shd w:val="clear" w:color="auto" w:fill="auto"/>
            <w:vAlign w:val="center"/>
            <w:hideMark/>
          </w:tcPr>
          <w:p w14:paraId="1F6648AE" w14:textId="77777777" w:rsidR="009227B6" w:rsidRPr="009227B6" w:rsidRDefault="009227B6" w:rsidP="009227B6">
            <w:pPr>
              <w:jc w:val="center"/>
            </w:pPr>
            <w:r w:rsidRPr="009227B6">
              <w:t>CAB</w:t>
            </w:r>
          </w:p>
        </w:tc>
        <w:tc>
          <w:tcPr>
            <w:tcW w:w="450" w:type="pct"/>
            <w:tcBorders>
              <w:top w:val="single" w:sz="4" w:space="0" w:color="auto"/>
              <w:bottom w:val="single" w:sz="4" w:space="0" w:color="auto"/>
            </w:tcBorders>
            <w:shd w:val="clear" w:color="auto" w:fill="auto"/>
            <w:noWrap/>
            <w:vAlign w:val="bottom"/>
            <w:hideMark/>
          </w:tcPr>
          <w:p w14:paraId="31FF0671" w14:textId="3CD1DA33" w:rsidR="009227B6" w:rsidRPr="009227B6" w:rsidRDefault="009227B6" w:rsidP="009227B6">
            <w:pPr>
              <w:jc w:val="center"/>
            </w:pPr>
          </w:p>
        </w:tc>
      </w:tr>
      <w:tr w:rsidR="009227B6" w:rsidRPr="009227B6" w14:paraId="02A986C6" w14:textId="77777777" w:rsidTr="00D76EC1">
        <w:trPr>
          <w:trHeight w:val="288"/>
        </w:trPr>
        <w:tc>
          <w:tcPr>
            <w:tcW w:w="455" w:type="pct"/>
            <w:tcBorders>
              <w:top w:val="single" w:sz="4" w:space="0" w:color="auto"/>
            </w:tcBorders>
            <w:shd w:val="clear" w:color="auto" w:fill="auto"/>
            <w:vAlign w:val="center"/>
            <w:hideMark/>
          </w:tcPr>
          <w:p w14:paraId="5FB70466" w14:textId="77777777" w:rsidR="009227B6" w:rsidRPr="009227B6" w:rsidRDefault="009227B6">
            <w:r w:rsidRPr="009227B6">
              <w:t>T4</w:t>
            </w:r>
          </w:p>
        </w:tc>
        <w:tc>
          <w:tcPr>
            <w:tcW w:w="455" w:type="pct"/>
            <w:tcBorders>
              <w:top w:val="single" w:sz="4" w:space="0" w:color="auto"/>
            </w:tcBorders>
            <w:shd w:val="clear" w:color="auto" w:fill="auto"/>
            <w:vAlign w:val="center"/>
            <w:hideMark/>
          </w:tcPr>
          <w:p w14:paraId="0B30B551" w14:textId="77777777" w:rsidR="009227B6" w:rsidRPr="009227B6" w:rsidRDefault="009227B6" w:rsidP="009227B6">
            <w:pPr>
              <w:jc w:val="center"/>
            </w:pPr>
            <w:r w:rsidRPr="009227B6">
              <w:t>r</w:t>
            </w:r>
          </w:p>
        </w:tc>
        <w:tc>
          <w:tcPr>
            <w:tcW w:w="455" w:type="pct"/>
            <w:tcBorders>
              <w:top w:val="single" w:sz="4" w:space="0" w:color="auto"/>
            </w:tcBorders>
            <w:shd w:val="clear" w:color="auto" w:fill="auto"/>
            <w:vAlign w:val="center"/>
            <w:hideMark/>
          </w:tcPr>
          <w:p w14:paraId="66A8AC5B"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6FE90748" w14:textId="77777777" w:rsidR="009227B6" w:rsidRPr="009227B6" w:rsidRDefault="009227B6" w:rsidP="009227B6">
            <w:pPr>
              <w:jc w:val="center"/>
            </w:pPr>
            <w:r w:rsidRPr="009227B6">
              <w:t>r</w:t>
            </w:r>
          </w:p>
        </w:tc>
        <w:tc>
          <w:tcPr>
            <w:tcW w:w="455" w:type="pct"/>
            <w:tcBorders>
              <w:top w:val="single" w:sz="4" w:space="0" w:color="auto"/>
            </w:tcBorders>
            <w:shd w:val="clear" w:color="auto" w:fill="auto"/>
            <w:vAlign w:val="center"/>
            <w:hideMark/>
          </w:tcPr>
          <w:p w14:paraId="59C94865"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19EB329F" w14:textId="23B64AE6" w:rsidR="009227B6" w:rsidRPr="009227B6" w:rsidRDefault="005B21A8" w:rsidP="009227B6">
            <w:pPr>
              <w:jc w:val="center"/>
            </w:pPr>
            <w:r w:rsidRPr="009227B6">
              <w:t>R</w:t>
            </w:r>
          </w:p>
        </w:tc>
        <w:tc>
          <w:tcPr>
            <w:tcW w:w="455" w:type="pct"/>
            <w:tcBorders>
              <w:top w:val="single" w:sz="4" w:space="0" w:color="auto"/>
            </w:tcBorders>
            <w:shd w:val="clear" w:color="auto" w:fill="auto"/>
            <w:vAlign w:val="center"/>
            <w:hideMark/>
          </w:tcPr>
          <w:p w14:paraId="6F01AEC3"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2E9A671A" w14:textId="77777777" w:rsidR="009227B6" w:rsidRPr="009227B6" w:rsidRDefault="009227B6" w:rsidP="009227B6">
            <w:pPr>
              <w:jc w:val="center"/>
            </w:pPr>
            <w:r w:rsidRPr="009227B6">
              <w:t>r</w:t>
            </w:r>
          </w:p>
        </w:tc>
        <w:tc>
          <w:tcPr>
            <w:tcW w:w="455" w:type="pct"/>
            <w:tcBorders>
              <w:top w:val="single" w:sz="4" w:space="0" w:color="auto"/>
            </w:tcBorders>
            <w:shd w:val="clear" w:color="auto" w:fill="auto"/>
            <w:vAlign w:val="center"/>
            <w:hideMark/>
          </w:tcPr>
          <w:p w14:paraId="74721873" w14:textId="77777777" w:rsidR="009227B6" w:rsidRPr="009227B6" w:rsidRDefault="009227B6" w:rsidP="009227B6">
            <w:pPr>
              <w:jc w:val="center"/>
            </w:pPr>
            <w:r w:rsidRPr="009227B6">
              <w:t>2-t</w:t>
            </w:r>
          </w:p>
        </w:tc>
        <w:tc>
          <w:tcPr>
            <w:tcW w:w="455" w:type="pct"/>
            <w:tcBorders>
              <w:top w:val="single" w:sz="4" w:space="0" w:color="auto"/>
            </w:tcBorders>
            <w:shd w:val="clear" w:color="auto" w:fill="auto"/>
            <w:vAlign w:val="center"/>
            <w:hideMark/>
          </w:tcPr>
          <w:p w14:paraId="5820E2F8" w14:textId="77777777" w:rsidR="009227B6" w:rsidRPr="009227B6" w:rsidRDefault="009227B6" w:rsidP="009227B6">
            <w:pPr>
              <w:jc w:val="center"/>
            </w:pPr>
            <w:r w:rsidRPr="009227B6">
              <w:t>r</w:t>
            </w:r>
          </w:p>
        </w:tc>
        <w:tc>
          <w:tcPr>
            <w:tcW w:w="450" w:type="pct"/>
            <w:tcBorders>
              <w:top w:val="single" w:sz="4" w:space="0" w:color="auto"/>
            </w:tcBorders>
            <w:shd w:val="clear" w:color="auto" w:fill="auto"/>
            <w:vAlign w:val="center"/>
            <w:hideMark/>
          </w:tcPr>
          <w:p w14:paraId="00B03337" w14:textId="77777777" w:rsidR="009227B6" w:rsidRPr="009227B6" w:rsidRDefault="009227B6" w:rsidP="009227B6">
            <w:pPr>
              <w:jc w:val="center"/>
            </w:pPr>
            <w:r w:rsidRPr="009227B6">
              <w:t>2-t</w:t>
            </w:r>
          </w:p>
        </w:tc>
      </w:tr>
      <w:tr w:rsidR="009227B6" w:rsidRPr="009227B6" w14:paraId="229E5F80" w14:textId="77777777" w:rsidTr="00D76EC1">
        <w:trPr>
          <w:trHeight w:val="288"/>
        </w:trPr>
        <w:tc>
          <w:tcPr>
            <w:tcW w:w="455" w:type="pct"/>
            <w:shd w:val="clear" w:color="auto" w:fill="auto"/>
            <w:vAlign w:val="center"/>
            <w:hideMark/>
          </w:tcPr>
          <w:p w14:paraId="3CA3F97A" w14:textId="77777777" w:rsidR="009227B6" w:rsidRPr="009227B6" w:rsidRDefault="009227B6" w:rsidP="009227B6">
            <w:r w:rsidRPr="009227B6">
              <w:t>CH</w:t>
            </w:r>
          </w:p>
        </w:tc>
        <w:tc>
          <w:tcPr>
            <w:tcW w:w="455" w:type="pct"/>
            <w:shd w:val="clear" w:color="auto" w:fill="auto"/>
            <w:noWrap/>
            <w:vAlign w:val="center"/>
            <w:hideMark/>
          </w:tcPr>
          <w:p w14:paraId="79A68E5A" w14:textId="77777777" w:rsidR="009227B6" w:rsidRPr="009227B6" w:rsidRDefault="009227B6" w:rsidP="009227B6">
            <w:pPr>
              <w:jc w:val="center"/>
            </w:pPr>
            <w:r w:rsidRPr="009227B6">
              <w:t>0.13</w:t>
            </w:r>
          </w:p>
        </w:tc>
        <w:tc>
          <w:tcPr>
            <w:tcW w:w="455" w:type="pct"/>
            <w:shd w:val="clear" w:color="auto" w:fill="auto"/>
            <w:noWrap/>
            <w:vAlign w:val="center"/>
            <w:hideMark/>
          </w:tcPr>
          <w:p w14:paraId="05AFF9CD" w14:textId="77777777" w:rsidR="009227B6" w:rsidRPr="009227B6" w:rsidRDefault="009227B6" w:rsidP="009227B6">
            <w:pPr>
              <w:jc w:val="center"/>
            </w:pPr>
            <w:r w:rsidRPr="009227B6">
              <w:t>0.69</w:t>
            </w:r>
          </w:p>
        </w:tc>
        <w:tc>
          <w:tcPr>
            <w:tcW w:w="455" w:type="pct"/>
            <w:shd w:val="clear" w:color="auto" w:fill="auto"/>
            <w:noWrap/>
            <w:hideMark/>
          </w:tcPr>
          <w:p w14:paraId="4B0EDE8D" w14:textId="77777777" w:rsidR="009227B6" w:rsidRPr="009227B6" w:rsidRDefault="009227B6" w:rsidP="009227B6">
            <w:pPr>
              <w:jc w:val="center"/>
            </w:pPr>
          </w:p>
        </w:tc>
        <w:tc>
          <w:tcPr>
            <w:tcW w:w="455" w:type="pct"/>
            <w:shd w:val="clear" w:color="auto" w:fill="auto"/>
            <w:noWrap/>
            <w:hideMark/>
          </w:tcPr>
          <w:p w14:paraId="147CA017" w14:textId="77777777" w:rsidR="009227B6" w:rsidRPr="009227B6" w:rsidRDefault="009227B6" w:rsidP="009227B6">
            <w:pPr>
              <w:jc w:val="center"/>
            </w:pPr>
          </w:p>
        </w:tc>
        <w:tc>
          <w:tcPr>
            <w:tcW w:w="455" w:type="pct"/>
            <w:shd w:val="clear" w:color="auto" w:fill="auto"/>
            <w:noWrap/>
            <w:hideMark/>
          </w:tcPr>
          <w:p w14:paraId="0C16562B" w14:textId="77777777" w:rsidR="009227B6" w:rsidRPr="009227B6" w:rsidRDefault="009227B6" w:rsidP="009227B6">
            <w:pPr>
              <w:jc w:val="center"/>
            </w:pPr>
          </w:p>
        </w:tc>
        <w:tc>
          <w:tcPr>
            <w:tcW w:w="455" w:type="pct"/>
            <w:shd w:val="clear" w:color="auto" w:fill="auto"/>
            <w:noWrap/>
            <w:hideMark/>
          </w:tcPr>
          <w:p w14:paraId="4FF471DB" w14:textId="77777777" w:rsidR="009227B6" w:rsidRPr="009227B6" w:rsidRDefault="009227B6" w:rsidP="009227B6">
            <w:pPr>
              <w:jc w:val="center"/>
            </w:pPr>
          </w:p>
        </w:tc>
        <w:tc>
          <w:tcPr>
            <w:tcW w:w="455" w:type="pct"/>
            <w:shd w:val="clear" w:color="auto" w:fill="auto"/>
            <w:noWrap/>
            <w:hideMark/>
          </w:tcPr>
          <w:p w14:paraId="6FC0CE46" w14:textId="77777777" w:rsidR="009227B6" w:rsidRPr="009227B6" w:rsidRDefault="009227B6" w:rsidP="009227B6">
            <w:pPr>
              <w:jc w:val="center"/>
            </w:pPr>
          </w:p>
        </w:tc>
        <w:tc>
          <w:tcPr>
            <w:tcW w:w="455" w:type="pct"/>
            <w:shd w:val="clear" w:color="auto" w:fill="auto"/>
            <w:noWrap/>
            <w:hideMark/>
          </w:tcPr>
          <w:p w14:paraId="52B64CF6" w14:textId="77777777" w:rsidR="009227B6" w:rsidRPr="009227B6" w:rsidRDefault="009227B6" w:rsidP="009227B6">
            <w:pPr>
              <w:jc w:val="center"/>
            </w:pPr>
          </w:p>
        </w:tc>
        <w:tc>
          <w:tcPr>
            <w:tcW w:w="455" w:type="pct"/>
            <w:shd w:val="clear" w:color="auto" w:fill="auto"/>
            <w:noWrap/>
            <w:hideMark/>
          </w:tcPr>
          <w:p w14:paraId="36B36B2F" w14:textId="77777777" w:rsidR="009227B6" w:rsidRPr="009227B6" w:rsidRDefault="009227B6" w:rsidP="009227B6">
            <w:pPr>
              <w:jc w:val="center"/>
            </w:pPr>
          </w:p>
        </w:tc>
        <w:tc>
          <w:tcPr>
            <w:tcW w:w="450" w:type="pct"/>
            <w:shd w:val="clear" w:color="auto" w:fill="auto"/>
            <w:noWrap/>
            <w:hideMark/>
          </w:tcPr>
          <w:p w14:paraId="1C23C08B" w14:textId="59ACA533" w:rsidR="009227B6" w:rsidRPr="009227B6" w:rsidRDefault="009227B6" w:rsidP="009227B6">
            <w:pPr>
              <w:jc w:val="center"/>
            </w:pPr>
          </w:p>
        </w:tc>
      </w:tr>
      <w:tr w:rsidR="009227B6" w:rsidRPr="009227B6" w14:paraId="6D845311" w14:textId="77777777" w:rsidTr="00D76EC1">
        <w:trPr>
          <w:trHeight w:val="288"/>
        </w:trPr>
        <w:tc>
          <w:tcPr>
            <w:tcW w:w="455" w:type="pct"/>
            <w:shd w:val="clear" w:color="auto" w:fill="auto"/>
            <w:vAlign w:val="center"/>
            <w:hideMark/>
          </w:tcPr>
          <w:p w14:paraId="30C28486" w14:textId="77777777" w:rsidR="009227B6" w:rsidRPr="009227B6" w:rsidRDefault="009227B6" w:rsidP="009227B6">
            <w:r w:rsidRPr="009227B6">
              <w:t>AB</w:t>
            </w:r>
          </w:p>
        </w:tc>
        <w:tc>
          <w:tcPr>
            <w:tcW w:w="455" w:type="pct"/>
            <w:shd w:val="clear" w:color="auto" w:fill="auto"/>
            <w:noWrap/>
            <w:vAlign w:val="center"/>
            <w:hideMark/>
          </w:tcPr>
          <w:p w14:paraId="3162C60C" w14:textId="77777777" w:rsidR="009227B6" w:rsidRPr="009227B6" w:rsidRDefault="009227B6" w:rsidP="009227B6">
            <w:pPr>
              <w:jc w:val="center"/>
            </w:pPr>
            <w:r w:rsidRPr="009227B6">
              <w:t>0.03</w:t>
            </w:r>
          </w:p>
        </w:tc>
        <w:tc>
          <w:tcPr>
            <w:tcW w:w="455" w:type="pct"/>
            <w:shd w:val="clear" w:color="auto" w:fill="auto"/>
            <w:noWrap/>
            <w:vAlign w:val="center"/>
            <w:hideMark/>
          </w:tcPr>
          <w:p w14:paraId="35548B22" w14:textId="77777777" w:rsidR="009227B6" w:rsidRPr="009227B6" w:rsidRDefault="009227B6" w:rsidP="009227B6">
            <w:pPr>
              <w:jc w:val="center"/>
            </w:pPr>
            <w:r w:rsidRPr="009227B6">
              <w:t>0.94</w:t>
            </w:r>
          </w:p>
        </w:tc>
        <w:tc>
          <w:tcPr>
            <w:tcW w:w="455" w:type="pct"/>
            <w:shd w:val="clear" w:color="auto" w:fill="auto"/>
            <w:noWrap/>
            <w:vAlign w:val="center"/>
            <w:hideMark/>
          </w:tcPr>
          <w:p w14:paraId="076A69DA" w14:textId="66F9EDA6" w:rsidR="009227B6" w:rsidRPr="009227B6" w:rsidRDefault="009227B6" w:rsidP="009227B6">
            <w:pPr>
              <w:jc w:val="center"/>
            </w:pPr>
            <w:r w:rsidRPr="009227B6">
              <w:t>0.8</w:t>
            </w:r>
            <w:r>
              <w:t>0</w:t>
            </w:r>
          </w:p>
        </w:tc>
        <w:tc>
          <w:tcPr>
            <w:tcW w:w="455" w:type="pct"/>
            <w:shd w:val="clear" w:color="auto" w:fill="auto"/>
            <w:noWrap/>
            <w:vAlign w:val="center"/>
            <w:hideMark/>
          </w:tcPr>
          <w:p w14:paraId="186B8326" w14:textId="77777777" w:rsidR="009227B6" w:rsidRPr="009227B6" w:rsidRDefault="009227B6" w:rsidP="009227B6">
            <w:pPr>
              <w:jc w:val="center"/>
            </w:pPr>
            <w:r w:rsidRPr="009227B6">
              <w:t>0</w:t>
            </w:r>
          </w:p>
        </w:tc>
        <w:tc>
          <w:tcPr>
            <w:tcW w:w="455" w:type="pct"/>
            <w:shd w:val="clear" w:color="auto" w:fill="auto"/>
            <w:noWrap/>
            <w:hideMark/>
          </w:tcPr>
          <w:p w14:paraId="6F93100F" w14:textId="77777777" w:rsidR="009227B6" w:rsidRPr="009227B6" w:rsidRDefault="009227B6" w:rsidP="009227B6">
            <w:pPr>
              <w:jc w:val="center"/>
            </w:pPr>
          </w:p>
        </w:tc>
        <w:tc>
          <w:tcPr>
            <w:tcW w:w="455" w:type="pct"/>
            <w:shd w:val="clear" w:color="auto" w:fill="auto"/>
            <w:noWrap/>
            <w:hideMark/>
          </w:tcPr>
          <w:p w14:paraId="77DC05AF" w14:textId="77777777" w:rsidR="009227B6" w:rsidRPr="009227B6" w:rsidRDefault="009227B6" w:rsidP="009227B6">
            <w:pPr>
              <w:jc w:val="center"/>
            </w:pPr>
          </w:p>
        </w:tc>
        <w:tc>
          <w:tcPr>
            <w:tcW w:w="455" w:type="pct"/>
            <w:shd w:val="clear" w:color="auto" w:fill="auto"/>
            <w:noWrap/>
            <w:hideMark/>
          </w:tcPr>
          <w:p w14:paraId="4ED2FCB0" w14:textId="77777777" w:rsidR="009227B6" w:rsidRPr="009227B6" w:rsidRDefault="009227B6" w:rsidP="009227B6">
            <w:pPr>
              <w:jc w:val="center"/>
            </w:pPr>
          </w:p>
        </w:tc>
        <w:tc>
          <w:tcPr>
            <w:tcW w:w="455" w:type="pct"/>
            <w:shd w:val="clear" w:color="auto" w:fill="auto"/>
            <w:noWrap/>
            <w:hideMark/>
          </w:tcPr>
          <w:p w14:paraId="0F34DE5B" w14:textId="77777777" w:rsidR="009227B6" w:rsidRPr="009227B6" w:rsidRDefault="009227B6" w:rsidP="009227B6">
            <w:pPr>
              <w:jc w:val="center"/>
            </w:pPr>
          </w:p>
        </w:tc>
        <w:tc>
          <w:tcPr>
            <w:tcW w:w="455" w:type="pct"/>
            <w:shd w:val="clear" w:color="auto" w:fill="auto"/>
            <w:noWrap/>
            <w:hideMark/>
          </w:tcPr>
          <w:p w14:paraId="7A430A8B" w14:textId="77777777" w:rsidR="009227B6" w:rsidRPr="009227B6" w:rsidRDefault="009227B6" w:rsidP="009227B6">
            <w:pPr>
              <w:jc w:val="center"/>
            </w:pPr>
          </w:p>
        </w:tc>
        <w:tc>
          <w:tcPr>
            <w:tcW w:w="450" w:type="pct"/>
            <w:shd w:val="clear" w:color="auto" w:fill="auto"/>
            <w:noWrap/>
            <w:hideMark/>
          </w:tcPr>
          <w:p w14:paraId="78F86D41" w14:textId="4F4A8B17" w:rsidR="009227B6" w:rsidRPr="009227B6" w:rsidRDefault="009227B6" w:rsidP="009227B6">
            <w:pPr>
              <w:jc w:val="center"/>
            </w:pPr>
          </w:p>
        </w:tc>
      </w:tr>
      <w:tr w:rsidR="009227B6" w:rsidRPr="009227B6" w14:paraId="3F8CAE29" w14:textId="77777777" w:rsidTr="00D76EC1">
        <w:trPr>
          <w:trHeight w:val="288"/>
        </w:trPr>
        <w:tc>
          <w:tcPr>
            <w:tcW w:w="455" w:type="pct"/>
            <w:shd w:val="clear" w:color="auto" w:fill="auto"/>
            <w:vAlign w:val="center"/>
            <w:hideMark/>
          </w:tcPr>
          <w:p w14:paraId="0873A824" w14:textId="77777777" w:rsidR="009227B6" w:rsidRPr="009227B6" w:rsidRDefault="009227B6" w:rsidP="009227B6">
            <w:r w:rsidRPr="009227B6">
              <w:t>LH</w:t>
            </w:r>
          </w:p>
        </w:tc>
        <w:tc>
          <w:tcPr>
            <w:tcW w:w="455" w:type="pct"/>
            <w:shd w:val="clear" w:color="auto" w:fill="auto"/>
            <w:noWrap/>
            <w:vAlign w:val="center"/>
            <w:hideMark/>
          </w:tcPr>
          <w:p w14:paraId="58063562" w14:textId="77777777" w:rsidR="009227B6" w:rsidRPr="009227B6" w:rsidRDefault="009227B6" w:rsidP="009227B6">
            <w:pPr>
              <w:jc w:val="center"/>
            </w:pPr>
            <w:r w:rsidRPr="009227B6">
              <w:t>0.63</w:t>
            </w:r>
          </w:p>
        </w:tc>
        <w:tc>
          <w:tcPr>
            <w:tcW w:w="455" w:type="pct"/>
            <w:shd w:val="clear" w:color="auto" w:fill="auto"/>
            <w:noWrap/>
            <w:vAlign w:val="center"/>
            <w:hideMark/>
          </w:tcPr>
          <w:p w14:paraId="013AD54F" w14:textId="77777777" w:rsidR="009227B6" w:rsidRPr="009227B6" w:rsidRDefault="009227B6" w:rsidP="009227B6">
            <w:pPr>
              <w:jc w:val="center"/>
            </w:pPr>
            <w:r w:rsidRPr="009227B6">
              <w:t>0.03</w:t>
            </w:r>
          </w:p>
        </w:tc>
        <w:tc>
          <w:tcPr>
            <w:tcW w:w="455" w:type="pct"/>
            <w:shd w:val="clear" w:color="auto" w:fill="auto"/>
            <w:noWrap/>
            <w:vAlign w:val="center"/>
            <w:hideMark/>
          </w:tcPr>
          <w:p w14:paraId="4915EFF8" w14:textId="77777777" w:rsidR="009227B6" w:rsidRPr="009227B6" w:rsidRDefault="009227B6" w:rsidP="009227B6">
            <w:pPr>
              <w:jc w:val="center"/>
            </w:pPr>
            <w:r w:rsidRPr="009227B6">
              <w:t>0.66</w:t>
            </w:r>
          </w:p>
        </w:tc>
        <w:tc>
          <w:tcPr>
            <w:tcW w:w="455" w:type="pct"/>
            <w:shd w:val="clear" w:color="auto" w:fill="auto"/>
            <w:noWrap/>
            <w:vAlign w:val="center"/>
            <w:hideMark/>
          </w:tcPr>
          <w:p w14:paraId="69A3E6BE" w14:textId="77777777" w:rsidR="009227B6" w:rsidRPr="009227B6" w:rsidRDefault="009227B6" w:rsidP="009227B6">
            <w:pPr>
              <w:jc w:val="center"/>
            </w:pPr>
            <w:r w:rsidRPr="009227B6">
              <w:t>0.02</w:t>
            </w:r>
          </w:p>
        </w:tc>
        <w:tc>
          <w:tcPr>
            <w:tcW w:w="455" w:type="pct"/>
            <w:shd w:val="clear" w:color="auto" w:fill="auto"/>
            <w:noWrap/>
            <w:vAlign w:val="center"/>
            <w:hideMark/>
          </w:tcPr>
          <w:p w14:paraId="4FD7F0AC" w14:textId="15D9FE35" w:rsidR="009227B6" w:rsidRPr="009227B6" w:rsidRDefault="009227B6" w:rsidP="009227B6">
            <w:pPr>
              <w:jc w:val="center"/>
            </w:pPr>
            <w:r w:rsidRPr="009227B6">
              <w:t>0.7</w:t>
            </w:r>
            <w:r>
              <w:t>0</w:t>
            </w:r>
          </w:p>
        </w:tc>
        <w:tc>
          <w:tcPr>
            <w:tcW w:w="455" w:type="pct"/>
            <w:shd w:val="clear" w:color="auto" w:fill="auto"/>
            <w:noWrap/>
            <w:vAlign w:val="center"/>
            <w:hideMark/>
          </w:tcPr>
          <w:p w14:paraId="2A38D4AC" w14:textId="77777777" w:rsidR="009227B6" w:rsidRPr="009227B6" w:rsidRDefault="009227B6" w:rsidP="009227B6">
            <w:pPr>
              <w:jc w:val="center"/>
            </w:pPr>
            <w:r w:rsidRPr="009227B6">
              <w:t>0.01</w:t>
            </w:r>
          </w:p>
        </w:tc>
        <w:tc>
          <w:tcPr>
            <w:tcW w:w="455" w:type="pct"/>
            <w:shd w:val="clear" w:color="auto" w:fill="auto"/>
            <w:noWrap/>
            <w:hideMark/>
          </w:tcPr>
          <w:p w14:paraId="61438A52" w14:textId="77777777" w:rsidR="009227B6" w:rsidRPr="009227B6" w:rsidRDefault="009227B6" w:rsidP="009227B6">
            <w:pPr>
              <w:jc w:val="center"/>
            </w:pPr>
          </w:p>
        </w:tc>
        <w:tc>
          <w:tcPr>
            <w:tcW w:w="455" w:type="pct"/>
            <w:shd w:val="clear" w:color="auto" w:fill="auto"/>
            <w:noWrap/>
            <w:hideMark/>
          </w:tcPr>
          <w:p w14:paraId="771E62B2" w14:textId="77777777" w:rsidR="009227B6" w:rsidRPr="009227B6" w:rsidRDefault="009227B6" w:rsidP="009227B6">
            <w:pPr>
              <w:jc w:val="center"/>
            </w:pPr>
          </w:p>
        </w:tc>
        <w:tc>
          <w:tcPr>
            <w:tcW w:w="455" w:type="pct"/>
            <w:shd w:val="clear" w:color="auto" w:fill="auto"/>
            <w:noWrap/>
            <w:hideMark/>
          </w:tcPr>
          <w:p w14:paraId="63BD50FB" w14:textId="77777777" w:rsidR="009227B6" w:rsidRPr="009227B6" w:rsidRDefault="009227B6" w:rsidP="009227B6">
            <w:pPr>
              <w:jc w:val="center"/>
            </w:pPr>
          </w:p>
        </w:tc>
        <w:tc>
          <w:tcPr>
            <w:tcW w:w="450" w:type="pct"/>
            <w:shd w:val="clear" w:color="auto" w:fill="auto"/>
            <w:noWrap/>
            <w:hideMark/>
          </w:tcPr>
          <w:p w14:paraId="70D89302" w14:textId="79C6CAF7" w:rsidR="009227B6" w:rsidRPr="009227B6" w:rsidRDefault="009227B6" w:rsidP="009227B6">
            <w:pPr>
              <w:jc w:val="center"/>
            </w:pPr>
          </w:p>
        </w:tc>
      </w:tr>
      <w:tr w:rsidR="009227B6" w:rsidRPr="009227B6" w14:paraId="0FF6F33B" w14:textId="77777777" w:rsidTr="00D76EC1">
        <w:trPr>
          <w:trHeight w:val="288"/>
        </w:trPr>
        <w:tc>
          <w:tcPr>
            <w:tcW w:w="455" w:type="pct"/>
            <w:shd w:val="clear" w:color="auto" w:fill="auto"/>
            <w:vAlign w:val="center"/>
            <w:hideMark/>
          </w:tcPr>
          <w:p w14:paraId="13022D3E" w14:textId="77777777" w:rsidR="009227B6" w:rsidRPr="009227B6" w:rsidRDefault="009227B6" w:rsidP="009227B6">
            <w:r w:rsidRPr="009227B6">
              <w:t>CAB</w:t>
            </w:r>
          </w:p>
        </w:tc>
        <w:tc>
          <w:tcPr>
            <w:tcW w:w="455" w:type="pct"/>
            <w:shd w:val="clear" w:color="auto" w:fill="auto"/>
            <w:noWrap/>
            <w:vAlign w:val="center"/>
            <w:hideMark/>
          </w:tcPr>
          <w:p w14:paraId="558E6EE6" w14:textId="77777777" w:rsidR="009227B6" w:rsidRPr="009227B6" w:rsidRDefault="009227B6" w:rsidP="009227B6">
            <w:pPr>
              <w:jc w:val="center"/>
            </w:pPr>
            <w:r w:rsidRPr="009227B6">
              <w:t>0.39</w:t>
            </w:r>
          </w:p>
        </w:tc>
        <w:tc>
          <w:tcPr>
            <w:tcW w:w="455" w:type="pct"/>
            <w:shd w:val="clear" w:color="auto" w:fill="auto"/>
            <w:noWrap/>
            <w:vAlign w:val="center"/>
            <w:hideMark/>
          </w:tcPr>
          <w:p w14:paraId="5441636A" w14:textId="77777777" w:rsidR="009227B6" w:rsidRPr="009227B6" w:rsidRDefault="009227B6" w:rsidP="009227B6">
            <w:pPr>
              <w:jc w:val="center"/>
            </w:pPr>
            <w:r w:rsidRPr="009227B6">
              <w:t>0.21</w:t>
            </w:r>
          </w:p>
        </w:tc>
        <w:tc>
          <w:tcPr>
            <w:tcW w:w="455" w:type="pct"/>
            <w:shd w:val="clear" w:color="auto" w:fill="auto"/>
            <w:noWrap/>
            <w:vAlign w:val="center"/>
            <w:hideMark/>
          </w:tcPr>
          <w:p w14:paraId="6B8FCEFE" w14:textId="77777777" w:rsidR="009227B6" w:rsidRPr="009227B6" w:rsidRDefault="009227B6" w:rsidP="009227B6">
            <w:pPr>
              <w:jc w:val="center"/>
            </w:pPr>
            <w:r w:rsidRPr="009227B6">
              <w:t>0.34</w:t>
            </w:r>
          </w:p>
        </w:tc>
        <w:tc>
          <w:tcPr>
            <w:tcW w:w="455" w:type="pct"/>
            <w:shd w:val="clear" w:color="auto" w:fill="auto"/>
            <w:noWrap/>
            <w:vAlign w:val="center"/>
            <w:hideMark/>
          </w:tcPr>
          <w:p w14:paraId="0704DF49" w14:textId="77777777" w:rsidR="009227B6" w:rsidRPr="009227B6" w:rsidRDefault="009227B6" w:rsidP="009227B6">
            <w:pPr>
              <w:jc w:val="center"/>
            </w:pPr>
            <w:r w:rsidRPr="009227B6">
              <w:t>0.27</w:t>
            </w:r>
          </w:p>
        </w:tc>
        <w:tc>
          <w:tcPr>
            <w:tcW w:w="455" w:type="pct"/>
            <w:shd w:val="clear" w:color="auto" w:fill="auto"/>
            <w:noWrap/>
            <w:vAlign w:val="center"/>
            <w:hideMark/>
          </w:tcPr>
          <w:p w14:paraId="60F6B47B" w14:textId="77777777" w:rsidR="009227B6" w:rsidRPr="009227B6" w:rsidRDefault="009227B6" w:rsidP="009227B6">
            <w:pPr>
              <w:jc w:val="center"/>
            </w:pPr>
            <w:r w:rsidRPr="009227B6">
              <w:t>0.47</w:t>
            </w:r>
          </w:p>
        </w:tc>
        <w:tc>
          <w:tcPr>
            <w:tcW w:w="455" w:type="pct"/>
            <w:shd w:val="clear" w:color="auto" w:fill="auto"/>
            <w:noWrap/>
            <w:vAlign w:val="center"/>
            <w:hideMark/>
          </w:tcPr>
          <w:p w14:paraId="7376BF07" w14:textId="77777777" w:rsidR="009227B6" w:rsidRPr="009227B6" w:rsidRDefault="009227B6" w:rsidP="009227B6">
            <w:pPr>
              <w:jc w:val="center"/>
            </w:pPr>
            <w:r w:rsidRPr="009227B6">
              <w:t>0.12</w:t>
            </w:r>
          </w:p>
        </w:tc>
        <w:tc>
          <w:tcPr>
            <w:tcW w:w="455" w:type="pct"/>
            <w:shd w:val="clear" w:color="auto" w:fill="auto"/>
            <w:noWrap/>
            <w:vAlign w:val="center"/>
            <w:hideMark/>
          </w:tcPr>
          <w:p w14:paraId="2D8B6269" w14:textId="77777777" w:rsidR="009227B6" w:rsidRPr="009227B6" w:rsidRDefault="009227B6" w:rsidP="009227B6">
            <w:pPr>
              <w:jc w:val="center"/>
            </w:pPr>
            <w:r w:rsidRPr="009227B6">
              <w:t>0.57</w:t>
            </w:r>
          </w:p>
        </w:tc>
        <w:tc>
          <w:tcPr>
            <w:tcW w:w="455" w:type="pct"/>
            <w:shd w:val="clear" w:color="auto" w:fill="auto"/>
            <w:noWrap/>
            <w:vAlign w:val="center"/>
            <w:hideMark/>
          </w:tcPr>
          <w:p w14:paraId="574B1B27" w14:textId="77777777" w:rsidR="009227B6" w:rsidRPr="009227B6" w:rsidRDefault="009227B6" w:rsidP="009227B6">
            <w:pPr>
              <w:jc w:val="center"/>
            </w:pPr>
            <w:r w:rsidRPr="009227B6">
              <w:t>0.05</w:t>
            </w:r>
          </w:p>
        </w:tc>
        <w:tc>
          <w:tcPr>
            <w:tcW w:w="455" w:type="pct"/>
            <w:shd w:val="clear" w:color="auto" w:fill="auto"/>
            <w:noWrap/>
            <w:hideMark/>
          </w:tcPr>
          <w:p w14:paraId="775D8C2B" w14:textId="77777777" w:rsidR="009227B6" w:rsidRPr="009227B6" w:rsidRDefault="009227B6" w:rsidP="009227B6">
            <w:pPr>
              <w:jc w:val="center"/>
            </w:pPr>
          </w:p>
        </w:tc>
        <w:tc>
          <w:tcPr>
            <w:tcW w:w="450" w:type="pct"/>
            <w:shd w:val="clear" w:color="auto" w:fill="auto"/>
            <w:noWrap/>
            <w:hideMark/>
          </w:tcPr>
          <w:p w14:paraId="5AD74821" w14:textId="5A656F39" w:rsidR="009227B6" w:rsidRPr="009227B6" w:rsidRDefault="009227B6" w:rsidP="009227B6">
            <w:pPr>
              <w:jc w:val="center"/>
            </w:pPr>
          </w:p>
        </w:tc>
      </w:tr>
      <w:tr w:rsidR="009227B6" w:rsidRPr="009227B6" w14:paraId="3601F648" w14:textId="77777777" w:rsidTr="00D76EC1">
        <w:trPr>
          <w:trHeight w:val="288"/>
        </w:trPr>
        <w:tc>
          <w:tcPr>
            <w:tcW w:w="455" w:type="pct"/>
            <w:shd w:val="clear" w:color="auto" w:fill="auto"/>
            <w:vAlign w:val="center"/>
            <w:hideMark/>
          </w:tcPr>
          <w:p w14:paraId="0FDDDEBA" w14:textId="77777777" w:rsidR="009227B6" w:rsidRPr="009227B6" w:rsidRDefault="009227B6" w:rsidP="009227B6">
            <w:r w:rsidRPr="009227B6">
              <w:t>TAB</w:t>
            </w:r>
          </w:p>
        </w:tc>
        <w:tc>
          <w:tcPr>
            <w:tcW w:w="455" w:type="pct"/>
            <w:shd w:val="clear" w:color="auto" w:fill="auto"/>
            <w:noWrap/>
            <w:vAlign w:val="center"/>
            <w:hideMark/>
          </w:tcPr>
          <w:p w14:paraId="4DB63333" w14:textId="77777777" w:rsidR="009227B6" w:rsidRPr="009227B6" w:rsidRDefault="009227B6" w:rsidP="009227B6">
            <w:pPr>
              <w:jc w:val="center"/>
            </w:pPr>
            <w:r w:rsidRPr="009227B6">
              <w:t>0.29</w:t>
            </w:r>
          </w:p>
        </w:tc>
        <w:tc>
          <w:tcPr>
            <w:tcW w:w="455" w:type="pct"/>
            <w:shd w:val="clear" w:color="auto" w:fill="auto"/>
            <w:noWrap/>
            <w:vAlign w:val="center"/>
            <w:hideMark/>
          </w:tcPr>
          <w:p w14:paraId="61D71D1E" w14:textId="77777777" w:rsidR="009227B6" w:rsidRPr="009227B6" w:rsidRDefault="009227B6" w:rsidP="009227B6">
            <w:pPr>
              <w:jc w:val="center"/>
            </w:pPr>
            <w:r w:rsidRPr="009227B6">
              <w:t>0.36</w:t>
            </w:r>
          </w:p>
        </w:tc>
        <w:tc>
          <w:tcPr>
            <w:tcW w:w="455" w:type="pct"/>
            <w:shd w:val="clear" w:color="auto" w:fill="auto"/>
            <w:noWrap/>
            <w:vAlign w:val="center"/>
            <w:hideMark/>
          </w:tcPr>
          <w:p w14:paraId="1484EFD4" w14:textId="77777777" w:rsidR="009227B6" w:rsidRPr="009227B6" w:rsidRDefault="009227B6" w:rsidP="009227B6">
            <w:pPr>
              <w:jc w:val="center"/>
            </w:pPr>
            <w:r w:rsidRPr="009227B6">
              <w:t>0.56</w:t>
            </w:r>
          </w:p>
        </w:tc>
        <w:tc>
          <w:tcPr>
            <w:tcW w:w="455" w:type="pct"/>
            <w:shd w:val="clear" w:color="auto" w:fill="auto"/>
            <w:noWrap/>
            <w:vAlign w:val="center"/>
            <w:hideMark/>
          </w:tcPr>
          <w:p w14:paraId="4AF14905" w14:textId="77777777" w:rsidR="009227B6" w:rsidRPr="009227B6" w:rsidRDefault="009227B6" w:rsidP="009227B6">
            <w:pPr>
              <w:jc w:val="center"/>
            </w:pPr>
            <w:r w:rsidRPr="009227B6">
              <w:t>0.06</w:t>
            </w:r>
          </w:p>
        </w:tc>
        <w:tc>
          <w:tcPr>
            <w:tcW w:w="455" w:type="pct"/>
            <w:shd w:val="clear" w:color="auto" w:fill="auto"/>
            <w:noWrap/>
            <w:vAlign w:val="center"/>
            <w:hideMark/>
          </w:tcPr>
          <w:p w14:paraId="258B16B7" w14:textId="77777777" w:rsidR="009227B6" w:rsidRPr="009227B6" w:rsidRDefault="009227B6" w:rsidP="009227B6">
            <w:pPr>
              <w:jc w:val="center"/>
            </w:pPr>
            <w:r w:rsidRPr="009227B6">
              <w:t>0.41</w:t>
            </w:r>
          </w:p>
        </w:tc>
        <w:tc>
          <w:tcPr>
            <w:tcW w:w="455" w:type="pct"/>
            <w:shd w:val="clear" w:color="auto" w:fill="auto"/>
            <w:noWrap/>
            <w:vAlign w:val="center"/>
            <w:hideMark/>
          </w:tcPr>
          <w:p w14:paraId="63F33269" w14:textId="77777777" w:rsidR="009227B6" w:rsidRPr="009227B6" w:rsidRDefault="009227B6" w:rsidP="009227B6">
            <w:pPr>
              <w:jc w:val="center"/>
            </w:pPr>
            <w:r w:rsidRPr="009227B6">
              <w:t>0.19</w:t>
            </w:r>
          </w:p>
        </w:tc>
        <w:tc>
          <w:tcPr>
            <w:tcW w:w="455" w:type="pct"/>
            <w:shd w:val="clear" w:color="auto" w:fill="auto"/>
            <w:noWrap/>
            <w:vAlign w:val="center"/>
            <w:hideMark/>
          </w:tcPr>
          <w:p w14:paraId="03E1CE60" w14:textId="77777777" w:rsidR="009227B6" w:rsidRPr="009227B6" w:rsidRDefault="009227B6" w:rsidP="009227B6">
            <w:pPr>
              <w:jc w:val="center"/>
            </w:pPr>
            <w:r w:rsidRPr="009227B6">
              <w:t>0.41</w:t>
            </w:r>
          </w:p>
        </w:tc>
        <w:tc>
          <w:tcPr>
            <w:tcW w:w="455" w:type="pct"/>
            <w:shd w:val="clear" w:color="auto" w:fill="auto"/>
            <w:noWrap/>
            <w:vAlign w:val="center"/>
            <w:hideMark/>
          </w:tcPr>
          <w:p w14:paraId="08B6DF64" w14:textId="77777777" w:rsidR="009227B6" w:rsidRPr="009227B6" w:rsidRDefault="009227B6" w:rsidP="009227B6">
            <w:pPr>
              <w:jc w:val="center"/>
            </w:pPr>
            <w:r w:rsidRPr="009227B6">
              <w:t>0.19</w:t>
            </w:r>
          </w:p>
        </w:tc>
        <w:tc>
          <w:tcPr>
            <w:tcW w:w="455" w:type="pct"/>
            <w:shd w:val="clear" w:color="auto" w:fill="auto"/>
            <w:noWrap/>
            <w:vAlign w:val="center"/>
            <w:hideMark/>
          </w:tcPr>
          <w:p w14:paraId="6AA4C0BD" w14:textId="77777777" w:rsidR="009227B6" w:rsidRPr="009227B6" w:rsidRDefault="009227B6" w:rsidP="009227B6">
            <w:pPr>
              <w:jc w:val="center"/>
            </w:pPr>
            <w:r w:rsidRPr="009227B6">
              <w:t>0.37</w:t>
            </w:r>
          </w:p>
        </w:tc>
        <w:tc>
          <w:tcPr>
            <w:tcW w:w="450" w:type="pct"/>
            <w:shd w:val="clear" w:color="auto" w:fill="auto"/>
            <w:noWrap/>
            <w:vAlign w:val="center"/>
            <w:hideMark/>
          </w:tcPr>
          <w:p w14:paraId="4D830274" w14:textId="77777777" w:rsidR="009227B6" w:rsidRPr="009227B6" w:rsidRDefault="009227B6" w:rsidP="009227B6">
            <w:pPr>
              <w:jc w:val="center"/>
            </w:pPr>
            <w:r w:rsidRPr="009227B6">
              <w:t>0.23</w:t>
            </w:r>
          </w:p>
        </w:tc>
      </w:tr>
    </w:tbl>
    <w:p w14:paraId="61C48137" w14:textId="540CE25D" w:rsidR="00E07654" w:rsidRPr="009777D0" w:rsidRDefault="00E07654" w:rsidP="005B21A8">
      <w:pPr>
        <w:spacing w:line="360" w:lineRule="auto"/>
        <w:jc w:val="center"/>
        <w:rPr>
          <w:lang w:val="es-419"/>
        </w:rPr>
      </w:pPr>
      <w:r w:rsidRPr="009777D0">
        <w:rPr>
          <w:lang w:val="es-419"/>
        </w:rPr>
        <w:t xml:space="preserve">T=Tratamiento; r=Coeficiente de correlación de Pearson; 2-t=Dos colas; </w:t>
      </w:r>
      <w:r>
        <w:rPr>
          <w:lang w:val="es-419"/>
        </w:rPr>
        <w:t xml:space="preserve">CB= Cantidad de brotes; </w:t>
      </w:r>
      <w:r w:rsidRPr="009777D0">
        <w:rPr>
          <w:lang w:val="es-419"/>
        </w:rPr>
        <w:t>CH=Cantidad de hojas; AB=Altura del brote en centímetros; LH=Longitud de hojas en centímetros; CAB=Cantidad de aparición de brotes; TAB= Tasa de aparición de brotes; T1= 83 % jal, 2.23 gr*cm</w:t>
      </w:r>
      <w:r w:rsidRPr="009777D0">
        <w:rPr>
          <w:vertAlign w:val="superscript"/>
          <w:lang w:val="es-419"/>
        </w:rPr>
        <w:t>-3</w:t>
      </w:r>
      <w:r w:rsidRPr="009777D0">
        <w:rPr>
          <w:lang w:val="es-419"/>
        </w:rPr>
        <w:t xml:space="preserve"> </w:t>
      </w:r>
      <w:r>
        <w:sym w:font="Symbol" w:char="F072"/>
      </w:r>
      <w:r w:rsidRPr="009777D0">
        <w:rPr>
          <w:lang w:val="es-419"/>
        </w:rPr>
        <w:t>, 2.09 CE, 7.79 pH; T2=76 % jal, 2.05 gr*cm</w:t>
      </w:r>
      <w:r w:rsidRPr="009777D0">
        <w:rPr>
          <w:vertAlign w:val="superscript"/>
          <w:lang w:val="es-419"/>
        </w:rPr>
        <w:t>-3</w:t>
      </w:r>
      <w:r w:rsidRPr="009777D0">
        <w:rPr>
          <w:lang w:val="es-419"/>
        </w:rPr>
        <w:t xml:space="preserve"> </w:t>
      </w:r>
      <w:r>
        <w:sym w:font="Symbol" w:char="F072"/>
      </w:r>
      <w:r w:rsidRPr="009777D0">
        <w:rPr>
          <w:lang w:val="es-419"/>
        </w:rPr>
        <w:t>, 1.98 CE, 7.84 pH; T3= 73 % jal, 1.96 gr*cm</w:t>
      </w:r>
      <w:r w:rsidRPr="009777D0">
        <w:rPr>
          <w:vertAlign w:val="superscript"/>
          <w:lang w:val="es-419"/>
        </w:rPr>
        <w:t>-3</w:t>
      </w:r>
      <w:r w:rsidRPr="009777D0">
        <w:rPr>
          <w:lang w:val="es-419"/>
        </w:rPr>
        <w:t xml:space="preserve"> </w:t>
      </w:r>
      <w:r>
        <w:sym w:font="Symbol" w:char="F072"/>
      </w:r>
      <w:r w:rsidRPr="009777D0">
        <w:rPr>
          <w:lang w:val="es-419"/>
        </w:rPr>
        <w:t>, 2.27 CE, 7.76 pH; T4=66 % jal, 1.78 gr*cm</w:t>
      </w:r>
      <w:r w:rsidRPr="009777D0">
        <w:rPr>
          <w:vertAlign w:val="superscript"/>
          <w:lang w:val="es-419"/>
        </w:rPr>
        <w:t>-3</w:t>
      </w:r>
      <w:r w:rsidRPr="009777D0">
        <w:rPr>
          <w:lang w:val="es-419"/>
        </w:rPr>
        <w:t xml:space="preserve"> </w:t>
      </w:r>
      <w:r>
        <w:sym w:font="Symbol" w:char="F072"/>
      </w:r>
      <w:r w:rsidRPr="009777D0">
        <w:rPr>
          <w:lang w:val="es-419"/>
        </w:rPr>
        <w:t>, 2.14 CE, 7.76 pH</w:t>
      </w:r>
    </w:p>
    <w:p w14:paraId="75011D6D" w14:textId="63B03849" w:rsidR="009D55A7" w:rsidRPr="005B21A8" w:rsidRDefault="009D55A7" w:rsidP="005B21A8">
      <w:pPr>
        <w:spacing w:line="360" w:lineRule="auto"/>
        <w:jc w:val="center"/>
        <w:rPr>
          <w:lang w:val="es-MX"/>
        </w:rPr>
      </w:pPr>
      <w:r w:rsidRPr="005B21A8">
        <w:rPr>
          <w:lang w:val="es-MX"/>
        </w:rPr>
        <w:t>Fuente: Elaboración Propia, 2021</w:t>
      </w:r>
    </w:p>
    <w:p w14:paraId="1D7BB3D9" w14:textId="77777777" w:rsidR="005B21A8" w:rsidRDefault="005B21A8" w:rsidP="009D55A7">
      <w:pPr>
        <w:pStyle w:val="FZ1"/>
        <w:spacing w:before="140" w:line="240" w:lineRule="auto"/>
        <w:rPr>
          <w:rFonts w:ascii="Times New Roman" w:hAnsi="Times New Roman" w:cs="Times New Roman"/>
        </w:rPr>
      </w:pPr>
    </w:p>
    <w:p w14:paraId="1756F295" w14:textId="39C00CFB" w:rsidR="009D55A7" w:rsidRPr="005B21A8" w:rsidRDefault="005B21A8" w:rsidP="009D55A7">
      <w:pPr>
        <w:pStyle w:val="FZ1"/>
        <w:spacing w:before="140" w:line="240" w:lineRule="auto"/>
        <w:rPr>
          <w:rFonts w:ascii="Times New Roman" w:hAnsi="Times New Roman" w:cs="Times New Roman"/>
          <w:sz w:val="32"/>
          <w:szCs w:val="32"/>
        </w:rPr>
      </w:pPr>
      <w:r w:rsidRPr="005B21A8">
        <w:rPr>
          <w:rFonts w:ascii="Times New Roman" w:hAnsi="Times New Roman" w:cs="Times New Roman"/>
          <w:sz w:val="32"/>
          <w:szCs w:val="32"/>
        </w:rPr>
        <w:lastRenderedPageBreak/>
        <w:t>Discusión</w:t>
      </w:r>
    </w:p>
    <w:p w14:paraId="16184176" w14:textId="42FD2A2D" w:rsidR="00C50188" w:rsidRDefault="00C50188" w:rsidP="005B21A8">
      <w:pPr>
        <w:spacing w:line="360" w:lineRule="auto"/>
        <w:ind w:firstLine="708"/>
        <w:jc w:val="both"/>
        <w:rPr>
          <w:lang w:val="es-MX"/>
        </w:rPr>
      </w:pPr>
      <w:r w:rsidRPr="005B21A8">
        <w:rPr>
          <w:lang w:val="es-MX"/>
        </w:rPr>
        <w:t xml:space="preserve">El valor de la media </w:t>
      </w:r>
      <w:r w:rsidRPr="00C50188">
        <w:sym w:font="Symbol" w:char="F0B1"/>
      </w:r>
      <w:r w:rsidRPr="005B21A8">
        <w:rPr>
          <w:lang w:val="es-MX"/>
        </w:rPr>
        <w:t xml:space="preserve"> desviación estándar para el número de aparición de brotes fue de 7.69</w:t>
      </w:r>
      <w:r w:rsidRPr="00C50188">
        <w:sym w:font="Symbol" w:char="F0B1"/>
      </w:r>
      <w:r w:rsidRPr="005B21A8">
        <w:rPr>
          <w:lang w:val="es-MX"/>
        </w:rPr>
        <w:t>6.46, para la cantidad de hojas en los brotes fue de 5.79</w:t>
      </w:r>
      <w:r w:rsidRPr="00C50188">
        <w:sym w:font="Symbol" w:char="F0B1"/>
      </w:r>
      <w:r w:rsidRPr="005B21A8">
        <w:rPr>
          <w:lang w:val="es-MX"/>
        </w:rPr>
        <w:t>4.23, para la altura de los brotes fue de 3.15</w:t>
      </w:r>
      <w:r w:rsidRPr="00C50188">
        <w:sym w:font="Symbol" w:char="F0B1"/>
      </w:r>
      <w:r w:rsidRPr="005B21A8">
        <w:rPr>
          <w:lang w:val="es-MX"/>
        </w:rPr>
        <w:t>2.55, y para la longitud de las hojas en los brotes fue de 1.25</w:t>
      </w:r>
      <w:r w:rsidRPr="00C50188">
        <w:sym w:font="Symbol" w:char="F0B1"/>
      </w:r>
      <w:r w:rsidRPr="005B21A8">
        <w:rPr>
          <w:lang w:val="es-MX"/>
        </w:rPr>
        <w:t>0.82. Los tratamientos T3 (73 % jal, 1.96 gr*cm</w:t>
      </w:r>
      <w:r w:rsidRPr="005B21A8">
        <w:rPr>
          <w:vertAlign w:val="superscript"/>
          <w:lang w:val="es-MX"/>
        </w:rPr>
        <w:t>-3</w:t>
      </w:r>
      <w:r w:rsidRPr="005B21A8">
        <w:rPr>
          <w:lang w:val="es-MX"/>
        </w:rPr>
        <w:t xml:space="preserve"> </w:t>
      </w:r>
      <w:r w:rsidRPr="00C50188">
        <w:sym w:font="Symbol" w:char="F072"/>
      </w:r>
      <w:r w:rsidRPr="005B21A8">
        <w:rPr>
          <w:lang w:val="es-MX"/>
        </w:rPr>
        <w:t>, 2.27 CE, 7.76 pH) y T4 (66 % jal, 1.78 gr*cm</w:t>
      </w:r>
      <w:r w:rsidR="00F77878" w:rsidRPr="005B21A8">
        <w:rPr>
          <w:vertAlign w:val="superscript"/>
          <w:lang w:val="es-MX"/>
        </w:rPr>
        <w:t>-3</w:t>
      </w:r>
      <w:r w:rsidRPr="005B21A8">
        <w:rPr>
          <w:lang w:val="es-MX"/>
        </w:rPr>
        <w:t xml:space="preserve"> </w:t>
      </w:r>
      <w:r w:rsidRPr="00C50188">
        <w:sym w:font="Symbol" w:char="F072"/>
      </w:r>
      <w:r w:rsidRPr="005B21A8">
        <w:rPr>
          <w:lang w:val="es-MX"/>
        </w:rPr>
        <w:t>, 2.14 CE, 7.76 pH) se describen como estadísticamente iguales, asimismo, son los tratamientos con valores más bajos de densidad, pH, conductividad eléctrica, y también son los que tienen un porcentaje menor de jal como sustrato, es decir, que estos tratamientos pueden caracterizarse porque la mezcla de sustratos interfieren en menor medida en que la aparición de los brotes pueda ocurrir por encima del sustrato. Aplicado el análisis de la correlación de Pearson para conocer la interacción de los datos tomados para registro fueron el número de plántulas que brotaron, la cantidad de hojas en las plántulas, la altura de las plántulas y la longitud de las hojas de las plántulas, así como para los valores calculados para determinar la cantidad de aparición de brotes y la tasa de aparición de brotes. Se obtuvieron correlaciones positivas significativas para el número de plántulas que brotaron entre el tratamiento T1 (83 % jal, 2.23 gr*cm</w:t>
      </w:r>
      <w:r w:rsidR="00F77878" w:rsidRPr="005B21A8">
        <w:rPr>
          <w:vertAlign w:val="superscript"/>
          <w:lang w:val="es-MX"/>
        </w:rPr>
        <w:t>-3</w:t>
      </w:r>
      <w:r w:rsidRPr="005B21A8">
        <w:rPr>
          <w:lang w:val="es-MX"/>
        </w:rPr>
        <w:t xml:space="preserve"> </w:t>
      </w:r>
      <w:r w:rsidRPr="00C50188">
        <w:sym w:font="Symbol" w:char="F072"/>
      </w:r>
      <w:r w:rsidRPr="005B21A8">
        <w:rPr>
          <w:lang w:val="es-MX"/>
        </w:rPr>
        <w:t>, 2.09 CE, 7.79 pH) y T4 (66 % jal, 1.78 gr*cm</w:t>
      </w:r>
      <w:r w:rsidR="00F77878" w:rsidRPr="005B21A8">
        <w:rPr>
          <w:vertAlign w:val="superscript"/>
          <w:lang w:val="es-MX"/>
        </w:rPr>
        <w:t>-3</w:t>
      </w:r>
      <w:r w:rsidRPr="005B21A8">
        <w:rPr>
          <w:lang w:val="es-MX"/>
        </w:rPr>
        <w:t xml:space="preserve"> </w:t>
      </w:r>
      <w:r w:rsidRPr="00C50188">
        <w:sym w:font="Symbol" w:char="F072"/>
      </w:r>
      <w:r w:rsidRPr="005B21A8">
        <w:rPr>
          <w:lang w:val="es-MX"/>
        </w:rPr>
        <w:t>, 2.14 CE, 7.76 pH) (r=0.62, P=0.03), pues para ambos tratamientos la cantidad de aparición de brotes fue alta. No se obtuvieron correlaciones significativas para la cantidad de hojas en las plántulas entre los tratamientos, es decir que cada porcentaje de jal utilizado en cada uno de los tratamientos, así como las características de conductividad, pH, densidad y permeabilidad propias de cada tratamiento, tienen un efecto en el desarrollo de la planta, específicamente en el desarrollo de las hojas. Para la altura de las plántulas y la longitud de las hojas de las plántulas se obtuvieron correlaciones positivas entre el tratamiento T2 (76 % jal, 2.05 gr*cm</w:t>
      </w:r>
      <w:r w:rsidR="00F77878" w:rsidRPr="005B21A8">
        <w:rPr>
          <w:vertAlign w:val="superscript"/>
          <w:lang w:val="es-MX"/>
        </w:rPr>
        <w:t>-3</w:t>
      </w:r>
      <w:r w:rsidRPr="005B21A8">
        <w:rPr>
          <w:lang w:val="es-MX"/>
        </w:rPr>
        <w:t xml:space="preserve"> </w:t>
      </w:r>
      <w:r w:rsidRPr="00C50188">
        <w:sym w:font="Symbol" w:char="F072"/>
      </w:r>
      <w:r w:rsidRPr="005B21A8">
        <w:rPr>
          <w:lang w:val="es-MX"/>
        </w:rPr>
        <w:t>, 1.98 CE, 7.84 pH) y T4 (66 % jal, 1.78 gr*cm</w:t>
      </w:r>
      <w:r w:rsidR="00F77878" w:rsidRPr="005B21A8">
        <w:rPr>
          <w:vertAlign w:val="superscript"/>
          <w:lang w:val="es-MX"/>
        </w:rPr>
        <w:t>-3</w:t>
      </w:r>
      <w:r w:rsidRPr="005B21A8">
        <w:rPr>
          <w:lang w:val="es-MX"/>
        </w:rPr>
        <w:t xml:space="preserve"> </w:t>
      </w:r>
      <w:r w:rsidRPr="00C50188">
        <w:sym w:font="Symbol" w:char="F072"/>
      </w:r>
      <w:r w:rsidRPr="005B21A8">
        <w:rPr>
          <w:lang w:val="es-MX"/>
        </w:rPr>
        <w:t>, 2.14 CE, 7.76 pH) (r=0.46, P=0.01), dado que ambos tratamientos presentan el registro de plántulas de mayor altura y el registro de hojas de mayor longitud comparado con los otros tratamientos. Para los valores calculados de la cantidad de aparición de brotes, las correlaciones positivas se obtuvieron entre el tratamiento T1 (83 % jal, 2.23 gr*cm</w:t>
      </w:r>
      <w:r w:rsidR="00F77878" w:rsidRPr="005B21A8">
        <w:rPr>
          <w:vertAlign w:val="superscript"/>
          <w:lang w:val="es-MX"/>
        </w:rPr>
        <w:t>-3</w:t>
      </w:r>
      <w:r w:rsidRPr="005B21A8">
        <w:rPr>
          <w:lang w:val="es-MX"/>
        </w:rPr>
        <w:t xml:space="preserve"> </w:t>
      </w:r>
      <w:r w:rsidRPr="00C50188">
        <w:sym w:font="Symbol" w:char="F072"/>
      </w:r>
      <w:r w:rsidRPr="005B21A8">
        <w:rPr>
          <w:lang w:val="es-MX"/>
        </w:rPr>
        <w:t>, 2.09 CE, 7.79 pH) y T2 (76 % jal, 2.05 gr*cm</w:t>
      </w:r>
      <w:r w:rsidR="00F77878" w:rsidRPr="005B21A8">
        <w:rPr>
          <w:vertAlign w:val="superscript"/>
          <w:lang w:val="es-MX"/>
        </w:rPr>
        <w:t>-3</w:t>
      </w:r>
      <w:r w:rsidRPr="005B21A8">
        <w:rPr>
          <w:lang w:val="es-MX"/>
        </w:rPr>
        <w:t xml:space="preserve"> </w:t>
      </w:r>
      <w:r w:rsidRPr="00C50188">
        <w:sym w:font="Symbol" w:char="F072"/>
      </w:r>
      <w:r w:rsidRPr="005B21A8">
        <w:rPr>
          <w:lang w:val="es-MX"/>
        </w:rPr>
        <w:t>, 1.98 CE, 7.84 pH) (r=0.25, P=0.04), T2 (76 % jal, 2.05 gr*cm</w:t>
      </w:r>
      <w:r w:rsidR="00F77878" w:rsidRPr="005B21A8">
        <w:rPr>
          <w:vertAlign w:val="superscript"/>
          <w:lang w:val="es-MX"/>
        </w:rPr>
        <w:t>-3</w:t>
      </w:r>
      <w:r w:rsidRPr="005B21A8">
        <w:rPr>
          <w:lang w:val="es-MX"/>
        </w:rPr>
        <w:t xml:space="preserve"> </w:t>
      </w:r>
      <w:r w:rsidRPr="00C50188">
        <w:sym w:font="Symbol" w:char="F072"/>
      </w:r>
      <w:r w:rsidRPr="005B21A8">
        <w:rPr>
          <w:lang w:val="es-MX"/>
        </w:rPr>
        <w:t>, 1.98 CE, 7.84 pH) y T4 (66 % jal, 1.78 gr*cm</w:t>
      </w:r>
      <w:r w:rsidR="00F77878" w:rsidRPr="005B21A8">
        <w:rPr>
          <w:vertAlign w:val="superscript"/>
          <w:lang w:val="es-MX"/>
        </w:rPr>
        <w:t>-3</w:t>
      </w:r>
      <w:r w:rsidRPr="005B21A8">
        <w:rPr>
          <w:lang w:val="es-MX"/>
        </w:rPr>
        <w:t xml:space="preserve"> </w:t>
      </w:r>
      <w:r w:rsidRPr="00C50188">
        <w:sym w:font="Symbol" w:char="F072"/>
      </w:r>
      <w:r w:rsidRPr="005B21A8">
        <w:rPr>
          <w:lang w:val="es-MX"/>
        </w:rPr>
        <w:t>, 2.14 CE, 7.76 pH) (r=0.19, P=0.05), T3 (73 % jal, 1.96 gr*cm</w:t>
      </w:r>
      <w:r w:rsidR="00F77878" w:rsidRPr="005B21A8">
        <w:rPr>
          <w:vertAlign w:val="superscript"/>
          <w:lang w:val="es-MX"/>
        </w:rPr>
        <w:t>-3</w:t>
      </w:r>
      <w:r w:rsidRPr="005B21A8">
        <w:rPr>
          <w:lang w:val="es-MX"/>
        </w:rPr>
        <w:t xml:space="preserve"> </w:t>
      </w:r>
      <w:r w:rsidRPr="00C50188">
        <w:sym w:font="Symbol" w:char="F072"/>
      </w:r>
      <w:r w:rsidRPr="005B21A8">
        <w:rPr>
          <w:lang w:val="es-MX"/>
        </w:rPr>
        <w:t>, 2.27 CE, 7.76 pH) y T4 (66 % jal, 1.78 gr*cm</w:t>
      </w:r>
      <w:r w:rsidR="00F77878" w:rsidRPr="005B21A8">
        <w:rPr>
          <w:vertAlign w:val="superscript"/>
          <w:lang w:val="es-MX"/>
        </w:rPr>
        <w:t>-3</w:t>
      </w:r>
      <w:r w:rsidRPr="005B21A8">
        <w:rPr>
          <w:lang w:val="es-MX"/>
        </w:rPr>
        <w:t xml:space="preserve"> </w:t>
      </w:r>
      <w:r w:rsidRPr="00C50188">
        <w:sym w:font="Symbol" w:char="F072"/>
      </w:r>
      <w:r w:rsidRPr="005B21A8">
        <w:rPr>
          <w:lang w:val="es-MX"/>
        </w:rPr>
        <w:t xml:space="preserve">, 2.14 CE, 7.76 pH) (r=0.28, P=0.03), siendo un factor de efecto el tiempo de aparición de los brotes, dado si estos </w:t>
      </w:r>
      <w:r w:rsidRPr="005B21A8">
        <w:rPr>
          <w:lang w:val="es-MX"/>
        </w:rPr>
        <w:lastRenderedPageBreak/>
        <w:t>ocurrieron durante los primeros 28 días del experimento o durante los últimos 28 días del experimento. Para los valores calculados de la tasa de aparición de brotes, se obtuvieron dos correlaciones positivas entre el tratamiento T2 (76 % jal, 2.05 gr*cm</w:t>
      </w:r>
      <w:r w:rsidR="00F77878" w:rsidRPr="005B21A8">
        <w:rPr>
          <w:vertAlign w:val="superscript"/>
          <w:lang w:val="es-MX"/>
        </w:rPr>
        <w:t>-3</w:t>
      </w:r>
      <w:r w:rsidRPr="005B21A8">
        <w:rPr>
          <w:lang w:val="es-MX"/>
        </w:rPr>
        <w:t xml:space="preserve"> </w:t>
      </w:r>
      <w:r w:rsidRPr="00C50188">
        <w:sym w:font="Symbol" w:char="F072"/>
      </w:r>
      <w:r w:rsidRPr="005B21A8">
        <w:rPr>
          <w:lang w:val="es-MX"/>
        </w:rPr>
        <w:t>, 1.98 CE, 7.84 pH) y T3 (73 % jal, 1.96 gr*cm</w:t>
      </w:r>
      <w:r w:rsidR="00F77878" w:rsidRPr="005B21A8">
        <w:rPr>
          <w:vertAlign w:val="superscript"/>
          <w:lang w:val="es-MX"/>
        </w:rPr>
        <w:t>-3</w:t>
      </w:r>
      <w:r w:rsidRPr="005B21A8">
        <w:rPr>
          <w:lang w:val="es-MX"/>
        </w:rPr>
        <w:t xml:space="preserve"> </w:t>
      </w:r>
      <w:r w:rsidRPr="00C50188">
        <w:sym w:font="Symbol" w:char="F072"/>
      </w:r>
      <w:r w:rsidRPr="005B21A8">
        <w:rPr>
          <w:lang w:val="es-MX"/>
        </w:rPr>
        <w:t>, 2.27 CE, 7.76 pH) (r=0.20, P=0.05), así como para el tratamiento T3 (73 % jal, 1.96 gr*cm</w:t>
      </w:r>
      <w:r w:rsidR="00F77878" w:rsidRPr="005B21A8">
        <w:rPr>
          <w:vertAlign w:val="superscript"/>
          <w:lang w:val="es-MX"/>
        </w:rPr>
        <w:t>-3</w:t>
      </w:r>
      <w:r w:rsidRPr="005B21A8">
        <w:rPr>
          <w:lang w:val="es-MX"/>
        </w:rPr>
        <w:t xml:space="preserve"> </w:t>
      </w:r>
      <w:r w:rsidRPr="00C50188">
        <w:sym w:font="Symbol" w:char="F072"/>
      </w:r>
      <w:r w:rsidRPr="005B21A8">
        <w:rPr>
          <w:lang w:val="es-MX"/>
        </w:rPr>
        <w:t>, 2.27 CE, 7.76 pH) y T4 (66 % jal, 1.78 gr*cm</w:t>
      </w:r>
      <w:r w:rsidR="00F77878" w:rsidRPr="005B21A8">
        <w:rPr>
          <w:vertAlign w:val="superscript"/>
          <w:lang w:val="es-MX"/>
        </w:rPr>
        <w:t>-3</w:t>
      </w:r>
      <w:r w:rsidRPr="005B21A8">
        <w:rPr>
          <w:lang w:val="es-MX"/>
        </w:rPr>
        <w:t xml:space="preserve"> </w:t>
      </w:r>
      <w:r w:rsidRPr="00C50188">
        <w:sym w:font="Symbol" w:char="F072"/>
      </w:r>
      <w:r w:rsidRPr="005B21A8">
        <w:rPr>
          <w:lang w:val="es-MX"/>
        </w:rPr>
        <w:t>, 2.14 CE, 7.76 pH) (r=0.25, P=0.04).</w:t>
      </w:r>
      <w:r w:rsidR="009D55A7" w:rsidRPr="005B21A8">
        <w:rPr>
          <w:lang w:val="es-MX"/>
        </w:rPr>
        <w:t xml:space="preserve"> </w:t>
      </w:r>
      <w:r w:rsidRPr="005B21A8">
        <w:rPr>
          <w:lang w:val="es-MX"/>
        </w:rPr>
        <w:t>La asociación entre las 48 observaciones, 12 repeticiones para cada uno de los cuatro tratamientos, con el número de plántulas que brotaron, cantidad de hojas en las plántulas, altura de las plántulas y longitud de las hojas de las plántulas, presentó algunas relaciones existentes entre los datos registrados, incluyendo los datos calculados para la cantidad de aparición de brotes y la tasa de aparición de brotes, presentando un efecto moderado para el tratamiento T1 (83 % jal, 2.23 gr*cm</w:t>
      </w:r>
      <w:r w:rsidRPr="005B21A8">
        <w:rPr>
          <w:vertAlign w:val="superscript"/>
          <w:lang w:val="es-MX"/>
        </w:rPr>
        <w:t>-3</w:t>
      </w:r>
      <w:r w:rsidRPr="005B21A8">
        <w:rPr>
          <w:lang w:val="es-MX"/>
        </w:rPr>
        <w:t xml:space="preserve"> </w:t>
      </w:r>
      <w:r w:rsidRPr="00C50188">
        <w:sym w:font="Symbol" w:char="F072"/>
      </w:r>
      <w:r w:rsidRPr="005B21A8">
        <w:rPr>
          <w:lang w:val="es-MX"/>
        </w:rPr>
        <w:t>, 2.09 CE, 7.79 pH) entre la cantidad de hojas en las plántulas y la altura de las plántulas con r=0.73 (P=0.007). Esta relación entre la cantidad de hojas en las plántulas y la altura de las plántulas también se presentó para el tratamiento T2 (76 % jal, 2.05 gr*cm</w:t>
      </w:r>
      <w:r w:rsidR="00BD1662" w:rsidRPr="005B21A8">
        <w:rPr>
          <w:vertAlign w:val="superscript"/>
          <w:lang w:val="es-MX"/>
        </w:rPr>
        <w:t>-3</w:t>
      </w:r>
      <w:r w:rsidRPr="005B21A8">
        <w:rPr>
          <w:lang w:val="es-MX"/>
        </w:rPr>
        <w:t xml:space="preserve"> </w:t>
      </w:r>
      <w:r w:rsidRPr="00C50188">
        <w:sym w:font="Symbol" w:char="F072"/>
      </w:r>
      <w:r w:rsidRPr="005B21A8">
        <w:rPr>
          <w:lang w:val="es-MX"/>
        </w:rPr>
        <w:t>, 1.98 CE, 7.84 pH) con un efecto mayor con r=0.98 (P=0.000), para el tratamiento dos también se presentó un efecto moderado de correlación entre la cantidad de hojas en las plántulas y la longitud de las hojas de las plántulas con r=0.66 (P=0.002), y entre la altura de las plántulas y la longitud de las hojas de las plántulas con r=0.56 (P=0.006). El tratamiento T3 (73 % jal, 1.96 gr*cm</w:t>
      </w:r>
      <w:r w:rsidR="00BD1662" w:rsidRPr="005B21A8">
        <w:rPr>
          <w:vertAlign w:val="superscript"/>
          <w:lang w:val="es-MX"/>
        </w:rPr>
        <w:t>-3</w:t>
      </w:r>
      <w:r w:rsidRPr="005B21A8">
        <w:rPr>
          <w:lang w:val="es-MX"/>
        </w:rPr>
        <w:t xml:space="preserve"> </w:t>
      </w:r>
      <w:r w:rsidRPr="00C50188">
        <w:sym w:font="Symbol" w:char="F072"/>
      </w:r>
      <w:r w:rsidRPr="005B21A8">
        <w:rPr>
          <w:lang w:val="es-MX"/>
        </w:rPr>
        <w:t>, 2.27 CE, 7.76 pH) presentó un efecto mayor entre la cantidad de hojas en las plántulas y la altura de las plántulas con r=0.99 (P=0.000), entre la cantidad de hojas en las plántulas y la longitud de las hojas de las plántulas con r=0.96 (P=0.000), y entre la altura de las plántulas y la longitud de las hojas de las plántulas con r=0.98 (P=0.000). Para el tratamiento T4 (66 % jal, 1.78 gr*cm</w:t>
      </w:r>
      <w:r w:rsidR="00E430F9" w:rsidRPr="005B21A8">
        <w:rPr>
          <w:vertAlign w:val="superscript"/>
          <w:lang w:val="es-MX"/>
        </w:rPr>
        <w:t>-3</w:t>
      </w:r>
      <w:r w:rsidRPr="005B21A8">
        <w:rPr>
          <w:lang w:val="es-MX"/>
        </w:rPr>
        <w:t xml:space="preserve"> </w:t>
      </w:r>
      <w:r w:rsidRPr="00C50188">
        <w:sym w:font="Symbol" w:char="F072"/>
      </w:r>
      <w:r w:rsidRPr="005B21A8">
        <w:rPr>
          <w:lang w:val="es-MX"/>
        </w:rPr>
        <w:t>, 2.14 CE, 7.76 pH), la relación existente entre la cantidad de hojas en las plántulas y la altura de las plántulas tuvo un efecto mayor con r=0.80 (P=0.002) y con un efecto moderado para la relación entre la cantidad de hojas en las plántulas y la longitud de las hojas de las plántulas con r=0.66 (P=0.019), y para la altura de las plántulas y la longitud de las hojas de las plántulas con un valor de correlación que fue de r=0.70 (P=0.011).</w:t>
      </w:r>
    </w:p>
    <w:p w14:paraId="0547CB0E" w14:textId="2E458F3C" w:rsidR="005B21A8" w:rsidRDefault="005B21A8" w:rsidP="005B21A8">
      <w:pPr>
        <w:spacing w:line="360" w:lineRule="auto"/>
        <w:ind w:firstLine="708"/>
        <w:jc w:val="both"/>
        <w:rPr>
          <w:lang w:val="es-MX"/>
        </w:rPr>
      </w:pPr>
    </w:p>
    <w:p w14:paraId="3D94BEA6" w14:textId="0E62B595" w:rsidR="005B21A8" w:rsidRDefault="005B21A8" w:rsidP="005B21A8">
      <w:pPr>
        <w:spacing w:line="360" w:lineRule="auto"/>
        <w:ind w:firstLine="708"/>
        <w:jc w:val="both"/>
        <w:rPr>
          <w:lang w:val="es-MX"/>
        </w:rPr>
      </w:pPr>
    </w:p>
    <w:p w14:paraId="7BDCCF58" w14:textId="610B6857" w:rsidR="005B21A8" w:rsidRDefault="005B21A8" w:rsidP="005B21A8">
      <w:pPr>
        <w:spacing w:line="360" w:lineRule="auto"/>
        <w:ind w:firstLine="708"/>
        <w:jc w:val="both"/>
        <w:rPr>
          <w:lang w:val="es-MX"/>
        </w:rPr>
      </w:pPr>
    </w:p>
    <w:p w14:paraId="0DAEB7BC" w14:textId="02CB70E1" w:rsidR="005B21A8" w:rsidRDefault="005B21A8" w:rsidP="005B21A8">
      <w:pPr>
        <w:spacing w:line="360" w:lineRule="auto"/>
        <w:ind w:firstLine="708"/>
        <w:jc w:val="both"/>
        <w:rPr>
          <w:lang w:val="es-MX"/>
        </w:rPr>
      </w:pPr>
    </w:p>
    <w:p w14:paraId="51B62973" w14:textId="77777777" w:rsidR="005B21A8" w:rsidRPr="005B21A8" w:rsidRDefault="005B21A8" w:rsidP="005B21A8">
      <w:pPr>
        <w:spacing w:line="360" w:lineRule="auto"/>
        <w:ind w:firstLine="708"/>
        <w:jc w:val="both"/>
        <w:rPr>
          <w:lang w:val="es-MX"/>
        </w:rPr>
      </w:pPr>
    </w:p>
    <w:p w14:paraId="2B9F609C" w14:textId="2933344A" w:rsidR="00071BA6" w:rsidRPr="0037496B" w:rsidRDefault="005B21A8" w:rsidP="00AB4863">
      <w:pPr>
        <w:pStyle w:val="FZ1"/>
        <w:spacing w:before="140" w:line="240" w:lineRule="auto"/>
        <w:rPr>
          <w:rFonts w:ascii="Times New Roman" w:hAnsi="Times New Roman" w:cs="Times New Roman"/>
        </w:rPr>
      </w:pPr>
      <w:r w:rsidRPr="005B21A8">
        <w:rPr>
          <w:rFonts w:ascii="Times New Roman" w:hAnsi="Times New Roman" w:cs="Times New Roman"/>
          <w:sz w:val="32"/>
          <w:szCs w:val="32"/>
        </w:rPr>
        <w:lastRenderedPageBreak/>
        <w:t>Conclusiones</w:t>
      </w:r>
    </w:p>
    <w:p w14:paraId="5AEEE3C6" w14:textId="77777777" w:rsidR="00E430F9" w:rsidRPr="00E430F9" w:rsidRDefault="00E430F9" w:rsidP="005B21A8">
      <w:pPr>
        <w:pStyle w:val="FirstParaofSectionTextStyle"/>
        <w:spacing w:line="360" w:lineRule="auto"/>
        <w:rPr>
          <w:sz w:val="24"/>
          <w:szCs w:val="24"/>
          <w:lang w:val="es-419"/>
        </w:rPr>
      </w:pPr>
      <w:bookmarkStart w:id="2" w:name="_Hlk50911107"/>
      <w:r w:rsidRPr="00E430F9">
        <w:rPr>
          <w:sz w:val="24"/>
          <w:szCs w:val="24"/>
          <w:lang w:val="es-419"/>
        </w:rPr>
        <w:t>Al evaluar los resultados de esta primera parte de la investigación, se ha concluido que el porcentaje de aparición de brotes es de 12%. El mayor número de aparición de brotes se obtuvo del tratamiento T1 (83 % jal, 2.23 gr*cm</w:t>
      </w:r>
      <w:r w:rsidRPr="00E430F9">
        <w:rPr>
          <w:sz w:val="24"/>
          <w:szCs w:val="24"/>
          <w:vertAlign w:val="superscript"/>
          <w:lang w:val="es-419"/>
        </w:rPr>
        <w:t>-3</w:t>
      </w:r>
      <w:r w:rsidRPr="00E430F9">
        <w:rPr>
          <w:sz w:val="24"/>
          <w:szCs w:val="24"/>
          <w:lang w:val="es-419"/>
        </w:rPr>
        <w:t xml:space="preserve"> </w:t>
      </w:r>
      <w:r w:rsidRPr="00E430F9">
        <w:rPr>
          <w:sz w:val="24"/>
          <w:szCs w:val="24"/>
        </w:rPr>
        <w:sym w:font="Symbol" w:char="F072"/>
      </w:r>
      <w:r w:rsidRPr="00E430F9">
        <w:rPr>
          <w:sz w:val="24"/>
          <w:szCs w:val="24"/>
          <w:lang w:val="es-419"/>
        </w:rPr>
        <w:t>, 2.09 CE, 7.79 pH) después de 96 días de transcurrido el experimento. El desarrollo de los brotes según los datos de registro del número de plántulas que brotaron, la cantidad de hojas en las plántulas, la altura de las plántulas y la longitud de las hojas de las plántulas, por cantidad de brotes lo presentó el tratamiento T1 (83 % jal, 2.23 gr*cm</w:t>
      </w:r>
      <w:r w:rsidRPr="00E430F9">
        <w:rPr>
          <w:sz w:val="24"/>
          <w:szCs w:val="24"/>
          <w:vertAlign w:val="superscript"/>
          <w:lang w:val="es-419"/>
        </w:rPr>
        <w:t>-3</w:t>
      </w:r>
      <w:r w:rsidRPr="00E430F9">
        <w:rPr>
          <w:sz w:val="24"/>
          <w:szCs w:val="24"/>
          <w:lang w:val="es-419"/>
        </w:rPr>
        <w:t xml:space="preserve"> </w:t>
      </w:r>
      <w:r w:rsidRPr="00E430F9">
        <w:rPr>
          <w:sz w:val="24"/>
          <w:szCs w:val="24"/>
        </w:rPr>
        <w:sym w:font="Symbol" w:char="F072"/>
      </w:r>
      <w:r w:rsidRPr="00E430F9">
        <w:rPr>
          <w:sz w:val="24"/>
          <w:szCs w:val="24"/>
          <w:lang w:val="es-419"/>
        </w:rPr>
        <w:t>, 2.09 CE, 7.79 pH), por cantidad de hojas lo presentó el tratamiento T4 (66 % jal, 1.78 gr*cm</w:t>
      </w:r>
      <w:r w:rsidRPr="00E430F9">
        <w:rPr>
          <w:sz w:val="24"/>
          <w:szCs w:val="24"/>
          <w:vertAlign w:val="superscript"/>
          <w:lang w:val="es-419"/>
        </w:rPr>
        <w:t>-3</w:t>
      </w:r>
      <w:r w:rsidRPr="00E430F9">
        <w:rPr>
          <w:sz w:val="24"/>
          <w:szCs w:val="24"/>
          <w:lang w:val="es-419"/>
        </w:rPr>
        <w:t xml:space="preserve"> </w:t>
      </w:r>
      <w:r w:rsidRPr="00E430F9">
        <w:rPr>
          <w:sz w:val="24"/>
          <w:szCs w:val="24"/>
        </w:rPr>
        <w:sym w:font="Symbol" w:char="F072"/>
      </w:r>
      <w:r w:rsidRPr="00E430F9">
        <w:rPr>
          <w:sz w:val="24"/>
          <w:szCs w:val="24"/>
          <w:lang w:val="es-419"/>
        </w:rPr>
        <w:t>, 2.14 CE, 7.76 pH),  según la altura de las plántulas, la mayor la presentó el tratamiento T3 (73 % jal, 1.96 gr*cm</w:t>
      </w:r>
      <w:r w:rsidRPr="00E430F9">
        <w:rPr>
          <w:sz w:val="24"/>
          <w:szCs w:val="24"/>
          <w:vertAlign w:val="superscript"/>
          <w:lang w:val="es-419"/>
        </w:rPr>
        <w:t>-3</w:t>
      </w:r>
      <w:r w:rsidRPr="00E430F9">
        <w:rPr>
          <w:sz w:val="24"/>
          <w:szCs w:val="24"/>
          <w:lang w:val="es-419"/>
        </w:rPr>
        <w:t xml:space="preserve"> </w:t>
      </w:r>
      <w:r w:rsidRPr="00E430F9">
        <w:rPr>
          <w:sz w:val="24"/>
          <w:szCs w:val="24"/>
        </w:rPr>
        <w:sym w:font="Symbol" w:char="F072"/>
      </w:r>
      <w:r w:rsidRPr="00E430F9">
        <w:rPr>
          <w:sz w:val="24"/>
          <w:szCs w:val="24"/>
          <w:lang w:val="es-419"/>
        </w:rPr>
        <w:t>, 2.27 CE, 7.76 pH), y por longitud de las hojas lo presentó el tratamiento T4 (66 % jal, 1.78 gr*cm</w:t>
      </w:r>
      <w:r w:rsidRPr="00E430F9">
        <w:rPr>
          <w:sz w:val="24"/>
          <w:szCs w:val="24"/>
          <w:vertAlign w:val="superscript"/>
          <w:lang w:val="es-419"/>
        </w:rPr>
        <w:t>-3</w:t>
      </w:r>
      <w:r w:rsidRPr="00E430F9">
        <w:rPr>
          <w:sz w:val="24"/>
          <w:szCs w:val="24"/>
          <w:lang w:val="es-419"/>
        </w:rPr>
        <w:t xml:space="preserve"> </w:t>
      </w:r>
      <w:r w:rsidRPr="00E430F9">
        <w:rPr>
          <w:sz w:val="24"/>
          <w:szCs w:val="24"/>
        </w:rPr>
        <w:sym w:font="Symbol" w:char="F072"/>
      </w:r>
      <w:r w:rsidRPr="00E430F9">
        <w:rPr>
          <w:sz w:val="24"/>
          <w:szCs w:val="24"/>
          <w:lang w:val="es-419"/>
        </w:rPr>
        <w:t>, 2.14 CE, 7.76 pH). A partir de estos datos, se podría deducir que el porcentaje de jal utilizado como sustrato podría ser una limitante de la aparición de brotes. Por otra parte, para todos los tratamientos, la mayor cantidad de los brotes aparecieron del día 68 al día 96 de registro del experimento. Los resultados de esta investigación muestran que la variable de la longitud de las hojas para todos los tratamientos presentó correlaciones positivas fuertes, deduciendo que esta característica puede mostrar durante el avance del experimento un efecto y una relación con el desarrollo de la planta.</w:t>
      </w:r>
    </w:p>
    <w:bookmarkEnd w:id="2"/>
    <w:p w14:paraId="06461D1F" w14:textId="51DEB2E6" w:rsidR="005B21A8" w:rsidRDefault="005B21A8" w:rsidP="005B21A8">
      <w:pPr>
        <w:pStyle w:val="FZ1"/>
        <w:spacing w:before="140" w:line="240" w:lineRule="auto"/>
        <w:jc w:val="left"/>
        <w:rPr>
          <w:rFonts w:asciiTheme="minorHAnsi" w:hAnsiTheme="minorHAnsi" w:cstheme="minorHAnsi"/>
          <w:sz w:val="28"/>
          <w:szCs w:val="28"/>
        </w:rPr>
      </w:pPr>
    </w:p>
    <w:p w14:paraId="6781FF5D" w14:textId="012E9384" w:rsidR="005B21A8" w:rsidRDefault="005B21A8" w:rsidP="005B21A8">
      <w:pPr>
        <w:pStyle w:val="FZ1"/>
        <w:spacing w:before="140" w:line="240" w:lineRule="auto"/>
        <w:jc w:val="left"/>
        <w:rPr>
          <w:rFonts w:asciiTheme="minorHAnsi" w:hAnsiTheme="minorHAnsi" w:cstheme="minorHAnsi"/>
          <w:sz w:val="28"/>
          <w:szCs w:val="28"/>
        </w:rPr>
      </w:pPr>
    </w:p>
    <w:p w14:paraId="72DDE4AD" w14:textId="459AA3C1" w:rsidR="005B21A8" w:rsidRDefault="005B21A8" w:rsidP="005B21A8">
      <w:pPr>
        <w:pStyle w:val="FZ1"/>
        <w:spacing w:before="140" w:line="240" w:lineRule="auto"/>
        <w:jc w:val="left"/>
        <w:rPr>
          <w:rFonts w:asciiTheme="minorHAnsi" w:hAnsiTheme="minorHAnsi" w:cstheme="minorHAnsi"/>
          <w:sz w:val="28"/>
          <w:szCs w:val="28"/>
        </w:rPr>
      </w:pPr>
    </w:p>
    <w:p w14:paraId="5888FF80" w14:textId="1ABEA9EB" w:rsidR="005B21A8" w:rsidRDefault="005B21A8" w:rsidP="005B21A8">
      <w:pPr>
        <w:pStyle w:val="FZ1"/>
        <w:spacing w:before="140" w:line="240" w:lineRule="auto"/>
        <w:jc w:val="left"/>
        <w:rPr>
          <w:rFonts w:asciiTheme="minorHAnsi" w:hAnsiTheme="minorHAnsi" w:cstheme="minorHAnsi"/>
          <w:sz w:val="28"/>
          <w:szCs w:val="28"/>
        </w:rPr>
      </w:pPr>
    </w:p>
    <w:p w14:paraId="1F895CBD" w14:textId="73B77342" w:rsidR="005B21A8" w:rsidRDefault="005B21A8" w:rsidP="005B21A8">
      <w:pPr>
        <w:pStyle w:val="FZ1"/>
        <w:spacing w:before="140" w:line="240" w:lineRule="auto"/>
        <w:jc w:val="left"/>
        <w:rPr>
          <w:rFonts w:asciiTheme="minorHAnsi" w:hAnsiTheme="minorHAnsi" w:cstheme="minorHAnsi"/>
          <w:sz w:val="28"/>
          <w:szCs w:val="28"/>
        </w:rPr>
      </w:pPr>
    </w:p>
    <w:p w14:paraId="5FCD9872" w14:textId="6D5E35C9" w:rsidR="005B21A8" w:rsidRDefault="005B21A8" w:rsidP="005B21A8">
      <w:pPr>
        <w:pStyle w:val="FZ1"/>
        <w:spacing w:before="140" w:line="240" w:lineRule="auto"/>
        <w:jc w:val="left"/>
        <w:rPr>
          <w:rFonts w:asciiTheme="minorHAnsi" w:hAnsiTheme="minorHAnsi" w:cstheme="minorHAnsi"/>
          <w:sz w:val="28"/>
          <w:szCs w:val="28"/>
        </w:rPr>
      </w:pPr>
    </w:p>
    <w:p w14:paraId="52426132" w14:textId="57979AB2" w:rsidR="005B21A8" w:rsidRDefault="005B21A8" w:rsidP="005B21A8">
      <w:pPr>
        <w:pStyle w:val="FZ1"/>
        <w:spacing w:before="140" w:line="240" w:lineRule="auto"/>
        <w:jc w:val="left"/>
        <w:rPr>
          <w:rFonts w:asciiTheme="minorHAnsi" w:hAnsiTheme="minorHAnsi" w:cstheme="minorHAnsi"/>
          <w:sz w:val="28"/>
          <w:szCs w:val="28"/>
        </w:rPr>
      </w:pPr>
    </w:p>
    <w:p w14:paraId="6E168F34" w14:textId="7280B759" w:rsidR="005B21A8" w:rsidRDefault="005B21A8" w:rsidP="005B21A8">
      <w:pPr>
        <w:pStyle w:val="FZ1"/>
        <w:spacing w:before="140" w:line="240" w:lineRule="auto"/>
        <w:jc w:val="left"/>
        <w:rPr>
          <w:rFonts w:asciiTheme="minorHAnsi" w:hAnsiTheme="minorHAnsi" w:cstheme="minorHAnsi"/>
          <w:sz w:val="28"/>
          <w:szCs w:val="28"/>
        </w:rPr>
      </w:pPr>
    </w:p>
    <w:p w14:paraId="4F06BC1B" w14:textId="506B2B81" w:rsidR="005B21A8" w:rsidRDefault="005B21A8" w:rsidP="005B21A8">
      <w:pPr>
        <w:pStyle w:val="FZ1"/>
        <w:spacing w:before="140" w:line="240" w:lineRule="auto"/>
        <w:jc w:val="left"/>
        <w:rPr>
          <w:rFonts w:asciiTheme="minorHAnsi" w:hAnsiTheme="minorHAnsi" w:cstheme="minorHAnsi"/>
          <w:sz w:val="28"/>
          <w:szCs w:val="28"/>
        </w:rPr>
      </w:pPr>
    </w:p>
    <w:p w14:paraId="3A70C995" w14:textId="13F22B2E" w:rsidR="005B21A8" w:rsidRDefault="005B21A8" w:rsidP="005B21A8">
      <w:pPr>
        <w:pStyle w:val="FZ1"/>
        <w:spacing w:before="140" w:line="240" w:lineRule="auto"/>
        <w:jc w:val="left"/>
        <w:rPr>
          <w:rFonts w:asciiTheme="minorHAnsi" w:hAnsiTheme="minorHAnsi" w:cstheme="minorHAnsi"/>
          <w:sz w:val="28"/>
          <w:szCs w:val="28"/>
        </w:rPr>
      </w:pPr>
    </w:p>
    <w:p w14:paraId="4C6F3337" w14:textId="610CA4F6" w:rsidR="005B21A8" w:rsidRDefault="005B21A8" w:rsidP="005B21A8">
      <w:pPr>
        <w:pStyle w:val="FZ1"/>
        <w:spacing w:before="140" w:line="240" w:lineRule="auto"/>
        <w:jc w:val="left"/>
        <w:rPr>
          <w:rFonts w:asciiTheme="minorHAnsi" w:hAnsiTheme="minorHAnsi" w:cstheme="minorHAnsi"/>
          <w:sz w:val="28"/>
          <w:szCs w:val="28"/>
        </w:rPr>
      </w:pPr>
    </w:p>
    <w:p w14:paraId="1368A422" w14:textId="77777777" w:rsidR="005B21A8" w:rsidRDefault="005B21A8" w:rsidP="005B21A8">
      <w:pPr>
        <w:pStyle w:val="FZ1"/>
        <w:spacing w:before="140" w:line="240" w:lineRule="auto"/>
        <w:jc w:val="left"/>
        <w:rPr>
          <w:rFonts w:asciiTheme="minorHAnsi" w:hAnsiTheme="minorHAnsi" w:cstheme="minorHAnsi"/>
          <w:sz w:val="28"/>
          <w:szCs w:val="28"/>
        </w:rPr>
      </w:pPr>
    </w:p>
    <w:p w14:paraId="498AF6D5" w14:textId="444781AA" w:rsidR="00C0794D" w:rsidRPr="005B21A8" w:rsidRDefault="005B21A8" w:rsidP="005B21A8">
      <w:pPr>
        <w:pStyle w:val="FZ1"/>
        <w:spacing w:before="140" w:line="240" w:lineRule="auto"/>
        <w:jc w:val="left"/>
        <w:rPr>
          <w:rFonts w:asciiTheme="minorHAnsi" w:hAnsiTheme="minorHAnsi" w:cstheme="minorHAnsi"/>
          <w:sz w:val="28"/>
          <w:szCs w:val="28"/>
        </w:rPr>
      </w:pPr>
      <w:r w:rsidRPr="005B21A8">
        <w:rPr>
          <w:rFonts w:asciiTheme="minorHAnsi" w:hAnsiTheme="minorHAnsi" w:cstheme="minorHAnsi"/>
          <w:sz w:val="28"/>
          <w:szCs w:val="28"/>
        </w:rPr>
        <w:lastRenderedPageBreak/>
        <w:t>Referencias</w:t>
      </w:r>
    </w:p>
    <w:p w14:paraId="5E095598" w14:textId="5D6627BC" w:rsidR="003213B6" w:rsidRPr="0045629F" w:rsidRDefault="003213B6" w:rsidP="005B21A8">
      <w:pPr>
        <w:pStyle w:val="ReferencesText"/>
        <w:spacing w:line="360" w:lineRule="auto"/>
        <w:rPr>
          <w:rFonts w:cs="Times New Roman"/>
          <w:sz w:val="24"/>
          <w:lang w:val="es-419"/>
        </w:rPr>
      </w:pPr>
      <w:r w:rsidRPr="0045629F">
        <w:rPr>
          <w:rFonts w:cs="Times New Roman"/>
          <w:sz w:val="24"/>
          <w:lang w:val="es-419"/>
        </w:rPr>
        <w:t xml:space="preserve">Barraza, L. </w:t>
      </w:r>
      <w:r w:rsidR="00DD0026">
        <w:rPr>
          <w:rFonts w:cs="Times New Roman"/>
          <w:sz w:val="24"/>
          <w:lang w:val="es-419"/>
        </w:rPr>
        <w:t>(</w:t>
      </w:r>
      <w:r w:rsidRPr="0045629F">
        <w:rPr>
          <w:rFonts w:cs="Times New Roman"/>
          <w:sz w:val="24"/>
          <w:lang w:val="es-419"/>
        </w:rPr>
        <w:t>2015</w:t>
      </w:r>
      <w:r w:rsidR="00DD0026">
        <w:rPr>
          <w:rFonts w:cs="Times New Roman"/>
          <w:sz w:val="24"/>
          <w:lang w:val="es-419"/>
        </w:rPr>
        <w:t>)</w:t>
      </w:r>
      <w:r w:rsidRPr="0045629F">
        <w:rPr>
          <w:rFonts w:cs="Times New Roman"/>
          <w:sz w:val="24"/>
          <w:lang w:val="es-419"/>
        </w:rPr>
        <w:t xml:space="preserve">. </w:t>
      </w:r>
      <w:r w:rsidRPr="0045629F">
        <w:rPr>
          <w:rFonts w:cs="Times New Roman"/>
          <w:i/>
          <w:iCs/>
          <w:sz w:val="24"/>
          <w:lang w:val="es-419"/>
        </w:rPr>
        <w:t>Evaluación de la contaminación del suelo por arsénico, plomo y mercurio en la zona de la presa de jales de Mina La Prieta en Hidalgo del Parral, Chihuahua</w:t>
      </w:r>
      <w:r w:rsidRPr="0045629F">
        <w:rPr>
          <w:rFonts w:cs="Times New Roman"/>
          <w:sz w:val="24"/>
          <w:lang w:val="es-419"/>
        </w:rPr>
        <w:t>. Tesis de Maestría. Universidad Nacional Autónoma de México. Ciudad de México. México. http://132.248.9.195/ptd2015/septiembre/0735792/0735792.pdf.</w:t>
      </w:r>
    </w:p>
    <w:p w14:paraId="272587FB" w14:textId="6872822B" w:rsidR="003213B6" w:rsidRPr="0045629F" w:rsidRDefault="003213B6" w:rsidP="005B21A8">
      <w:pPr>
        <w:pStyle w:val="ReferencesText"/>
        <w:spacing w:line="360" w:lineRule="auto"/>
        <w:rPr>
          <w:rFonts w:cs="Times New Roman"/>
          <w:sz w:val="24"/>
        </w:rPr>
      </w:pPr>
      <w:proofErr w:type="spellStart"/>
      <w:r w:rsidRPr="0045629F">
        <w:rPr>
          <w:rFonts w:cs="Times New Roman"/>
          <w:sz w:val="24"/>
          <w:lang w:val="es-419"/>
        </w:rPr>
        <w:t>Burges</w:t>
      </w:r>
      <w:proofErr w:type="spellEnd"/>
      <w:r w:rsidRPr="0045629F">
        <w:rPr>
          <w:rFonts w:cs="Times New Roman"/>
          <w:sz w:val="24"/>
          <w:lang w:val="es-419"/>
        </w:rPr>
        <w:t xml:space="preserve">, A., I. Alkorta, L. </w:t>
      </w:r>
      <w:proofErr w:type="spellStart"/>
      <w:r w:rsidRPr="0045629F">
        <w:rPr>
          <w:rFonts w:cs="Times New Roman"/>
          <w:sz w:val="24"/>
          <w:lang w:val="es-419"/>
        </w:rPr>
        <w:t>Epelde</w:t>
      </w:r>
      <w:proofErr w:type="spellEnd"/>
      <w:r w:rsidRPr="0045629F">
        <w:rPr>
          <w:rFonts w:cs="Times New Roman"/>
          <w:sz w:val="24"/>
          <w:lang w:val="es-419"/>
        </w:rPr>
        <w:t xml:space="preserve">, C. Garbisu. </w:t>
      </w:r>
      <w:r w:rsidR="00DD0026" w:rsidRPr="009D55A7">
        <w:rPr>
          <w:rFonts w:cs="Times New Roman"/>
          <w:sz w:val="24"/>
        </w:rPr>
        <w:t>(</w:t>
      </w:r>
      <w:r w:rsidRPr="0045629F">
        <w:rPr>
          <w:rFonts w:cs="Times New Roman"/>
          <w:sz w:val="24"/>
        </w:rPr>
        <w:t>2017</w:t>
      </w:r>
      <w:r w:rsidR="00DD0026">
        <w:rPr>
          <w:rFonts w:cs="Times New Roman"/>
          <w:sz w:val="24"/>
        </w:rPr>
        <w:t>)</w:t>
      </w:r>
      <w:r w:rsidRPr="0045629F">
        <w:rPr>
          <w:rFonts w:cs="Times New Roman"/>
          <w:sz w:val="24"/>
        </w:rPr>
        <w:t xml:space="preserve">. </w:t>
      </w:r>
      <w:r w:rsidRPr="00DD0026">
        <w:rPr>
          <w:rFonts w:cs="Times New Roman"/>
          <w:sz w:val="24"/>
        </w:rPr>
        <w:t xml:space="preserve">From phytoremediation of soil contaminants to </w:t>
      </w:r>
      <w:proofErr w:type="spellStart"/>
      <w:r w:rsidRPr="00DD0026">
        <w:rPr>
          <w:rFonts w:cs="Times New Roman"/>
          <w:sz w:val="24"/>
        </w:rPr>
        <w:t>phytomanagement</w:t>
      </w:r>
      <w:proofErr w:type="spellEnd"/>
      <w:r w:rsidRPr="00DD0026">
        <w:rPr>
          <w:rFonts w:cs="Times New Roman"/>
          <w:sz w:val="24"/>
        </w:rPr>
        <w:t xml:space="preserve"> of ecosystem services in metal contaminated sites</w:t>
      </w:r>
      <w:r w:rsidRPr="0045629F">
        <w:rPr>
          <w:rFonts w:cs="Times New Roman"/>
          <w:sz w:val="24"/>
        </w:rPr>
        <w:t xml:space="preserve">. Contamination and soil health. </w:t>
      </w:r>
      <w:r w:rsidRPr="00DD0026">
        <w:rPr>
          <w:rFonts w:cs="Times New Roman"/>
          <w:i/>
          <w:iCs/>
          <w:sz w:val="24"/>
        </w:rPr>
        <w:t>International Journal of Phytoremediation</w:t>
      </w:r>
      <w:r w:rsidRPr="0045629F">
        <w:rPr>
          <w:rFonts w:cs="Times New Roman"/>
          <w:sz w:val="24"/>
        </w:rPr>
        <w:t>. 20 (4): 15-27. https://doi.org/10.1080/15226514.2017.1365340.</w:t>
      </w:r>
    </w:p>
    <w:p w14:paraId="65DE60E7" w14:textId="4039907F" w:rsidR="003213B6" w:rsidRPr="0045629F" w:rsidRDefault="006D770C" w:rsidP="005B21A8">
      <w:pPr>
        <w:spacing w:line="360" w:lineRule="auto"/>
        <w:ind w:left="720" w:hanging="720"/>
        <w:jc w:val="both"/>
        <w:rPr>
          <w:noProof/>
          <w:lang w:val="es-419" w:eastAsia="es-MX"/>
        </w:rPr>
      </w:pPr>
      <w:r w:rsidRPr="005B21A8">
        <w:rPr>
          <w:noProof/>
          <w:lang w:val="es-MX" w:eastAsia="es-MX"/>
        </w:rPr>
        <w:t xml:space="preserve">González, E., L. Barraza, M. Alfonso, G. Fernández. (2015). </w:t>
      </w:r>
      <w:r w:rsidRPr="005B21A8">
        <w:rPr>
          <w:i/>
          <w:iCs/>
          <w:noProof/>
          <w:lang w:val="es-MX" w:eastAsia="es-MX"/>
        </w:rPr>
        <w:t>Diseño de experimentos para la posterior estabilización/solidificación de residuos mineros</w:t>
      </w:r>
      <w:r w:rsidRPr="005B21A8">
        <w:rPr>
          <w:noProof/>
          <w:lang w:val="es-MX" w:eastAsia="es-MX"/>
        </w:rPr>
        <w:t xml:space="preserve">. Facultad de Ingeniería, Universidad Nacional Autónoma de México. Ciudad de México. </w:t>
      </w:r>
      <w:r w:rsidRPr="00240761">
        <w:rPr>
          <w:noProof/>
          <w:lang w:val="es-419" w:eastAsia="es-MX"/>
        </w:rPr>
        <w:t>México.</w:t>
      </w:r>
      <w:r>
        <w:rPr>
          <w:lang w:val="es-419"/>
        </w:rPr>
        <w:t xml:space="preserve"> </w:t>
      </w:r>
      <w:r w:rsidR="003213B6" w:rsidRPr="0045629F">
        <w:rPr>
          <w:lang w:val="es-419"/>
        </w:rPr>
        <w:t>http://www.amica.com.mx/issn/archivos/106.pdf.</w:t>
      </w:r>
    </w:p>
    <w:p w14:paraId="1F386B04" w14:textId="5DADF1C8" w:rsidR="003213B6" w:rsidRPr="0045629F" w:rsidRDefault="003213B6" w:rsidP="005B21A8">
      <w:pPr>
        <w:pStyle w:val="ReferencesText"/>
        <w:spacing w:line="360" w:lineRule="auto"/>
        <w:rPr>
          <w:rFonts w:cs="Times New Roman"/>
          <w:sz w:val="24"/>
          <w:lang w:val="es-419"/>
        </w:rPr>
      </w:pPr>
      <w:r w:rsidRPr="0045629F">
        <w:rPr>
          <w:rFonts w:cs="Times New Roman"/>
          <w:sz w:val="24"/>
          <w:lang w:val="es-419"/>
        </w:rPr>
        <w:t xml:space="preserve">Hartmann, T. </w:t>
      </w:r>
      <w:proofErr w:type="spellStart"/>
      <w:r w:rsidRPr="0045629F">
        <w:rPr>
          <w:rFonts w:cs="Times New Roman"/>
          <w:sz w:val="24"/>
          <w:lang w:val="es-419"/>
        </w:rPr>
        <w:t>Kester</w:t>
      </w:r>
      <w:proofErr w:type="spellEnd"/>
      <w:r w:rsidRPr="0045629F">
        <w:rPr>
          <w:rFonts w:cs="Times New Roman"/>
          <w:sz w:val="24"/>
          <w:lang w:val="es-419"/>
        </w:rPr>
        <w:t xml:space="preserve">, E. </w:t>
      </w:r>
      <w:r w:rsidR="00DD0026">
        <w:rPr>
          <w:rFonts w:cs="Times New Roman"/>
          <w:sz w:val="24"/>
          <w:lang w:val="es-419"/>
        </w:rPr>
        <w:t>(</w:t>
      </w:r>
      <w:r w:rsidRPr="0045629F">
        <w:rPr>
          <w:rFonts w:cs="Times New Roman"/>
          <w:sz w:val="24"/>
          <w:lang w:val="es-419"/>
        </w:rPr>
        <w:t>1974</w:t>
      </w:r>
      <w:r w:rsidR="00DD0026">
        <w:rPr>
          <w:rFonts w:cs="Times New Roman"/>
          <w:sz w:val="24"/>
          <w:lang w:val="es-419"/>
        </w:rPr>
        <w:t>)</w:t>
      </w:r>
      <w:r w:rsidRPr="0045629F">
        <w:rPr>
          <w:rFonts w:cs="Times New Roman"/>
          <w:sz w:val="24"/>
          <w:lang w:val="es-419"/>
        </w:rPr>
        <w:t xml:space="preserve">. </w:t>
      </w:r>
      <w:r w:rsidRPr="0045629F">
        <w:rPr>
          <w:rFonts w:cs="Times New Roman"/>
          <w:i/>
          <w:iCs/>
          <w:sz w:val="24"/>
          <w:lang w:val="es-419"/>
        </w:rPr>
        <w:t>Propagación de plantas. Principios y prácticas</w:t>
      </w:r>
      <w:r w:rsidRPr="0045629F">
        <w:rPr>
          <w:rFonts w:cs="Times New Roman"/>
          <w:sz w:val="24"/>
          <w:lang w:val="es-419"/>
        </w:rPr>
        <w:t>. Tercera edición. México, CECSA. 810p. https://aulavirtual.agro.unlp.edu.ar/pluginfile.php/45969/mod_resource/content/1/Propagacion%20de%20plantas.pdf.</w:t>
      </w:r>
    </w:p>
    <w:p w14:paraId="526E3DE9" w14:textId="216A7F07" w:rsidR="003213B6" w:rsidRPr="0045629F" w:rsidRDefault="003213B6" w:rsidP="005B21A8">
      <w:pPr>
        <w:pStyle w:val="ReferencesText"/>
        <w:spacing w:line="360" w:lineRule="auto"/>
        <w:rPr>
          <w:rFonts w:cs="Times New Roman"/>
          <w:sz w:val="24"/>
        </w:rPr>
      </w:pPr>
      <w:r w:rsidRPr="0045629F">
        <w:rPr>
          <w:rFonts w:cs="Times New Roman"/>
          <w:sz w:val="24"/>
        </w:rPr>
        <w:t>Jurado, E., Westoby, M.</w:t>
      </w:r>
      <w:r w:rsidR="00DD0026">
        <w:rPr>
          <w:rFonts w:cs="Times New Roman"/>
          <w:sz w:val="24"/>
        </w:rPr>
        <w:t xml:space="preserve"> (</w:t>
      </w:r>
      <w:r w:rsidRPr="0045629F">
        <w:rPr>
          <w:rFonts w:cs="Times New Roman"/>
          <w:sz w:val="24"/>
        </w:rPr>
        <w:t>1992</w:t>
      </w:r>
      <w:r w:rsidR="00DD0026">
        <w:rPr>
          <w:rFonts w:cs="Times New Roman"/>
          <w:sz w:val="24"/>
        </w:rPr>
        <w:t>)</w:t>
      </w:r>
      <w:r w:rsidRPr="0045629F">
        <w:rPr>
          <w:rFonts w:cs="Times New Roman"/>
          <w:sz w:val="24"/>
        </w:rPr>
        <w:t xml:space="preserve">. </w:t>
      </w:r>
      <w:r w:rsidRPr="006D770C">
        <w:rPr>
          <w:rFonts w:cs="Times New Roman"/>
          <w:sz w:val="24"/>
        </w:rPr>
        <w:t>Germination biology of selected Central Australian plants</w:t>
      </w:r>
      <w:r w:rsidRPr="0045629F">
        <w:rPr>
          <w:rFonts w:cs="Times New Roman"/>
          <w:sz w:val="24"/>
        </w:rPr>
        <w:t xml:space="preserve">. </w:t>
      </w:r>
      <w:r w:rsidRPr="006D770C">
        <w:rPr>
          <w:rFonts w:cs="Times New Roman"/>
          <w:i/>
          <w:iCs/>
          <w:sz w:val="24"/>
        </w:rPr>
        <w:t>Australian Journal of Ecology</w:t>
      </w:r>
      <w:r w:rsidRPr="0045629F">
        <w:rPr>
          <w:rFonts w:cs="Times New Roman"/>
          <w:sz w:val="24"/>
        </w:rPr>
        <w:t>. 17 (4): 341-348. https://doi.org/10.1111/j.1442-9993.1992.tb00816.x.</w:t>
      </w:r>
    </w:p>
    <w:p w14:paraId="6A49FC18" w14:textId="18F57C48" w:rsidR="003213B6" w:rsidRPr="006D770C" w:rsidRDefault="006D770C" w:rsidP="005B21A8">
      <w:pPr>
        <w:spacing w:line="360" w:lineRule="auto"/>
        <w:ind w:left="720" w:hanging="720"/>
        <w:jc w:val="both"/>
        <w:rPr>
          <w:noProof/>
          <w:lang w:eastAsia="es-MX"/>
        </w:rPr>
      </w:pPr>
      <w:r w:rsidRPr="006D770C">
        <w:rPr>
          <w:noProof/>
          <w:lang w:val="es-419" w:eastAsia="es-MX"/>
        </w:rPr>
        <w:t xml:space="preserve">Lan, M., C. Liu, S. Liu, R. Qiu, Y. Tang. </w:t>
      </w:r>
      <w:r>
        <w:rPr>
          <w:noProof/>
          <w:lang w:val="en-GB" w:eastAsia="es-MX"/>
        </w:rPr>
        <w:t>(</w:t>
      </w:r>
      <w:r w:rsidRPr="0037496B">
        <w:rPr>
          <w:noProof/>
          <w:lang w:val="en-GB" w:eastAsia="es-MX"/>
        </w:rPr>
        <w:t>2020</w:t>
      </w:r>
      <w:r>
        <w:rPr>
          <w:noProof/>
          <w:lang w:val="en-GB" w:eastAsia="es-MX"/>
        </w:rPr>
        <w:t>)</w:t>
      </w:r>
      <w:r w:rsidRPr="0037496B">
        <w:rPr>
          <w:noProof/>
          <w:lang w:val="en-GB" w:eastAsia="es-MX"/>
        </w:rPr>
        <w:t xml:space="preserve">. </w:t>
      </w:r>
      <w:r w:rsidRPr="0037496B">
        <w:rPr>
          <w:noProof/>
          <w:lang w:eastAsia="es-MX"/>
        </w:rPr>
        <w:t xml:space="preserve">Phytostabilization of Cd and Pb in Highly Polluted Farmland Soils Using Ramie and Amendments. </w:t>
      </w:r>
      <w:r w:rsidRPr="00E72D3B">
        <w:rPr>
          <w:i/>
          <w:iCs/>
          <w:noProof/>
          <w:lang w:eastAsia="es-MX"/>
        </w:rPr>
        <w:t>International journal of environmental research and public health</w:t>
      </w:r>
      <w:r>
        <w:rPr>
          <w:noProof/>
          <w:lang w:eastAsia="es-MX"/>
        </w:rPr>
        <w:t>.</w:t>
      </w:r>
      <w:r w:rsidRPr="0037496B">
        <w:rPr>
          <w:noProof/>
          <w:lang w:eastAsia="es-MX"/>
        </w:rPr>
        <w:t xml:space="preserve"> 17:5:1661.</w:t>
      </w:r>
      <w:r>
        <w:rPr>
          <w:noProof/>
          <w:lang w:eastAsia="es-MX"/>
        </w:rPr>
        <w:t xml:space="preserve"> </w:t>
      </w:r>
      <w:r w:rsidR="003213B6" w:rsidRPr="009D55A7">
        <w:t>https://doi.org/10.3390/ijerph17051661.</w:t>
      </w:r>
    </w:p>
    <w:p w14:paraId="33590680" w14:textId="171266CF" w:rsidR="003213B6" w:rsidRPr="0045629F" w:rsidRDefault="003213B6" w:rsidP="005B21A8">
      <w:pPr>
        <w:pStyle w:val="ReferencesText"/>
        <w:spacing w:line="360" w:lineRule="auto"/>
        <w:rPr>
          <w:rFonts w:cs="Times New Roman"/>
          <w:sz w:val="24"/>
        </w:rPr>
      </w:pPr>
      <w:r w:rsidRPr="0045629F">
        <w:rPr>
          <w:rFonts w:cs="Times New Roman"/>
          <w:sz w:val="24"/>
        </w:rPr>
        <w:t xml:space="preserve">Maguire, J. </w:t>
      </w:r>
      <w:r w:rsidR="00DD0026">
        <w:rPr>
          <w:rFonts w:cs="Times New Roman"/>
          <w:sz w:val="24"/>
        </w:rPr>
        <w:t>(</w:t>
      </w:r>
      <w:r w:rsidRPr="0045629F">
        <w:rPr>
          <w:rFonts w:cs="Times New Roman"/>
          <w:sz w:val="24"/>
        </w:rPr>
        <w:t>1962</w:t>
      </w:r>
      <w:r w:rsidR="00DD0026">
        <w:rPr>
          <w:rFonts w:cs="Times New Roman"/>
          <w:sz w:val="24"/>
        </w:rPr>
        <w:t>)</w:t>
      </w:r>
      <w:r w:rsidRPr="0045629F">
        <w:rPr>
          <w:rFonts w:cs="Times New Roman"/>
          <w:sz w:val="24"/>
        </w:rPr>
        <w:t xml:space="preserve">. </w:t>
      </w:r>
      <w:r w:rsidRPr="006D770C">
        <w:rPr>
          <w:rFonts w:cs="Times New Roman"/>
          <w:sz w:val="24"/>
        </w:rPr>
        <w:t>Speed germination-aid in selection and evaluation for seedling emergence and vigor.</w:t>
      </w:r>
      <w:r w:rsidRPr="0045629F">
        <w:rPr>
          <w:rFonts w:cs="Times New Roman"/>
          <w:sz w:val="24"/>
        </w:rPr>
        <w:t xml:space="preserve"> </w:t>
      </w:r>
      <w:r w:rsidRPr="006D770C">
        <w:rPr>
          <w:rFonts w:cs="Times New Roman"/>
          <w:i/>
          <w:iCs/>
          <w:sz w:val="24"/>
        </w:rPr>
        <w:t>Crop Science</w:t>
      </w:r>
      <w:r w:rsidRPr="0045629F">
        <w:rPr>
          <w:rFonts w:cs="Times New Roman"/>
          <w:sz w:val="24"/>
        </w:rPr>
        <w:t>. 2: 176-177. https://doi.org/10.2135/cropsci1962.0011183X000200020033x.</w:t>
      </w:r>
    </w:p>
    <w:p w14:paraId="795B37E9" w14:textId="477FA555" w:rsidR="003213B6" w:rsidRPr="0045629F" w:rsidRDefault="003213B6" w:rsidP="005B21A8">
      <w:pPr>
        <w:pStyle w:val="ReferencesText"/>
        <w:spacing w:line="360" w:lineRule="auto"/>
        <w:rPr>
          <w:rFonts w:cs="Times New Roman"/>
          <w:sz w:val="24"/>
          <w:lang w:val="es-419"/>
        </w:rPr>
      </w:pPr>
      <w:r w:rsidRPr="0045629F">
        <w:rPr>
          <w:rFonts w:cs="Times New Roman"/>
          <w:sz w:val="24"/>
        </w:rPr>
        <w:t xml:space="preserve">Mamdouh, A. </w:t>
      </w:r>
      <w:r w:rsidR="00DD0026">
        <w:rPr>
          <w:rFonts w:cs="Times New Roman"/>
          <w:sz w:val="24"/>
        </w:rPr>
        <w:t>(</w:t>
      </w:r>
      <w:r w:rsidRPr="0045629F">
        <w:rPr>
          <w:rFonts w:cs="Times New Roman"/>
          <w:sz w:val="24"/>
        </w:rPr>
        <w:t>2015</w:t>
      </w:r>
      <w:r w:rsidR="00DD0026">
        <w:rPr>
          <w:rFonts w:cs="Times New Roman"/>
          <w:sz w:val="24"/>
        </w:rPr>
        <w:t>)</w:t>
      </w:r>
      <w:r w:rsidRPr="0045629F">
        <w:rPr>
          <w:rFonts w:cs="Times New Roman"/>
          <w:sz w:val="24"/>
        </w:rPr>
        <w:t xml:space="preserve">. </w:t>
      </w:r>
      <w:r w:rsidRPr="006D770C">
        <w:rPr>
          <w:rFonts w:cs="Times New Roman"/>
          <w:sz w:val="24"/>
        </w:rPr>
        <w:t xml:space="preserve">Impact of Compost on Metals </w:t>
      </w:r>
      <w:proofErr w:type="spellStart"/>
      <w:r w:rsidRPr="006D770C">
        <w:rPr>
          <w:rFonts w:cs="Times New Roman"/>
          <w:sz w:val="24"/>
        </w:rPr>
        <w:t>Phytostabilization</w:t>
      </w:r>
      <w:proofErr w:type="spellEnd"/>
      <w:r w:rsidRPr="006D770C">
        <w:rPr>
          <w:rFonts w:cs="Times New Roman"/>
          <w:sz w:val="24"/>
        </w:rPr>
        <w:t xml:space="preserve"> Potential of Two Halophytes Species. </w:t>
      </w:r>
      <w:r w:rsidRPr="006D770C">
        <w:rPr>
          <w:rFonts w:cs="Times New Roman"/>
          <w:i/>
          <w:iCs/>
          <w:sz w:val="24"/>
          <w:lang w:val="es-419"/>
        </w:rPr>
        <w:t xml:space="preserve">International </w:t>
      </w:r>
      <w:proofErr w:type="spellStart"/>
      <w:r w:rsidRPr="006D770C">
        <w:rPr>
          <w:rFonts w:cs="Times New Roman"/>
          <w:i/>
          <w:iCs/>
          <w:sz w:val="24"/>
          <w:lang w:val="es-419"/>
        </w:rPr>
        <w:t>Journal</w:t>
      </w:r>
      <w:proofErr w:type="spellEnd"/>
      <w:r w:rsidRPr="006D770C">
        <w:rPr>
          <w:rFonts w:cs="Times New Roman"/>
          <w:i/>
          <w:iCs/>
          <w:sz w:val="24"/>
          <w:lang w:val="es-419"/>
        </w:rPr>
        <w:t xml:space="preserve"> </w:t>
      </w:r>
      <w:proofErr w:type="spellStart"/>
      <w:r w:rsidRPr="006D770C">
        <w:rPr>
          <w:rFonts w:cs="Times New Roman"/>
          <w:i/>
          <w:iCs/>
          <w:sz w:val="24"/>
          <w:lang w:val="es-419"/>
        </w:rPr>
        <w:t>of</w:t>
      </w:r>
      <w:proofErr w:type="spellEnd"/>
      <w:r w:rsidRPr="006D770C">
        <w:rPr>
          <w:rFonts w:cs="Times New Roman"/>
          <w:i/>
          <w:iCs/>
          <w:sz w:val="24"/>
          <w:lang w:val="es-419"/>
        </w:rPr>
        <w:t xml:space="preserve"> </w:t>
      </w:r>
      <w:proofErr w:type="spellStart"/>
      <w:r w:rsidRPr="006D770C">
        <w:rPr>
          <w:rFonts w:cs="Times New Roman"/>
          <w:i/>
          <w:iCs/>
          <w:sz w:val="24"/>
          <w:lang w:val="es-419"/>
        </w:rPr>
        <w:t>Phytoremediation</w:t>
      </w:r>
      <w:proofErr w:type="spellEnd"/>
      <w:r w:rsidRPr="0045629F">
        <w:rPr>
          <w:rFonts w:cs="Times New Roman"/>
          <w:sz w:val="24"/>
          <w:lang w:val="es-419"/>
        </w:rPr>
        <w:t xml:space="preserve"> 17 (7): 662-668. https://doi.org/10.1080/15226514.2014.955567.</w:t>
      </w:r>
    </w:p>
    <w:p w14:paraId="3B7CD690" w14:textId="3D48326B" w:rsidR="003213B6" w:rsidRPr="0045629F" w:rsidRDefault="003213B6" w:rsidP="005B21A8">
      <w:pPr>
        <w:pStyle w:val="ReferencesText"/>
        <w:spacing w:line="360" w:lineRule="auto"/>
        <w:rPr>
          <w:rFonts w:cs="Times New Roman"/>
          <w:sz w:val="24"/>
          <w:lang w:val="es-419"/>
        </w:rPr>
      </w:pPr>
      <w:r w:rsidRPr="0045629F">
        <w:rPr>
          <w:rFonts w:cs="Times New Roman"/>
          <w:sz w:val="24"/>
          <w:lang w:val="es-419"/>
        </w:rPr>
        <w:t xml:space="preserve">Molina, P. </w:t>
      </w:r>
      <w:r w:rsidR="00DD0026">
        <w:rPr>
          <w:rFonts w:cs="Times New Roman"/>
          <w:sz w:val="24"/>
          <w:lang w:val="es-419"/>
        </w:rPr>
        <w:t>(</w:t>
      </w:r>
      <w:r w:rsidRPr="0045629F">
        <w:rPr>
          <w:rFonts w:cs="Times New Roman"/>
          <w:sz w:val="24"/>
          <w:lang w:val="es-419"/>
        </w:rPr>
        <w:t>1992</w:t>
      </w:r>
      <w:r w:rsidR="00DD0026">
        <w:rPr>
          <w:rFonts w:cs="Times New Roman"/>
          <w:sz w:val="24"/>
          <w:lang w:val="es-419"/>
        </w:rPr>
        <w:t>)</w:t>
      </w:r>
      <w:r w:rsidRPr="0045629F">
        <w:rPr>
          <w:rFonts w:cs="Times New Roman"/>
          <w:sz w:val="24"/>
          <w:lang w:val="es-419"/>
        </w:rPr>
        <w:t xml:space="preserve">. </w:t>
      </w:r>
      <w:r w:rsidRPr="0045629F">
        <w:rPr>
          <w:rFonts w:cs="Times New Roman"/>
          <w:i/>
          <w:iCs/>
          <w:sz w:val="24"/>
          <w:lang w:val="es-419"/>
        </w:rPr>
        <w:t xml:space="preserve">Efectos de varios tratamientos sobre la germinación de </w:t>
      </w:r>
      <w:proofErr w:type="spellStart"/>
      <w:r w:rsidRPr="0045629F">
        <w:rPr>
          <w:rFonts w:cs="Times New Roman"/>
          <w:i/>
          <w:iCs/>
          <w:sz w:val="24"/>
          <w:lang w:val="es-419"/>
        </w:rPr>
        <w:t>Atriplex</w:t>
      </w:r>
      <w:proofErr w:type="spellEnd"/>
      <w:r w:rsidRPr="0045629F">
        <w:rPr>
          <w:rFonts w:cs="Times New Roman"/>
          <w:i/>
          <w:iCs/>
          <w:sz w:val="24"/>
          <w:lang w:val="es-419"/>
        </w:rPr>
        <w:t xml:space="preserve"> </w:t>
      </w:r>
      <w:proofErr w:type="spellStart"/>
      <w:r w:rsidRPr="0045629F">
        <w:rPr>
          <w:rFonts w:cs="Times New Roman"/>
          <w:i/>
          <w:iCs/>
          <w:sz w:val="24"/>
          <w:lang w:val="es-419"/>
        </w:rPr>
        <w:t>canescens</w:t>
      </w:r>
      <w:proofErr w:type="spellEnd"/>
      <w:r w:rsidRPr="0045629F">
        <w:rPr>
          <w:rFonts w:cs="Times New Roman"/>
          <w:i/>
          <w:iCs/>
          <w:sz w:val="24"/>
          <w:lang w:val="es-419"/>
        </w:rPr>
        <w:t xml:space="preserve"> (</w:t>
      </w:r>
      <w:proofErr w:type="spellStart"/>
      <w:r w:rsidRPr="0045629F">
        <w:rPr>
          <w:rFonts w:cs="Times New Roman"/>
          <w:i/>
          <w:iCs/>
          <w:sz w:val="24"/>
          <w:lang w:val="es-419"/>
        </w:rPr>
        <w:t>Pursh</w:t>
      </w:r>
      <w:proofErr w:type="spellEnd"/>
      <w:r w:rsidRPr="0045629F">
        <w:rPr>
          <w:rFonts w:cs="Times New Roman"/>
          <w:i/>
          <w:iCs/>
          <w:sz w:val="24"/>
          <w:lang w:val="es-419"/>
        </w:rPr>
        <w:t>) Nutt., en el laboratorio</w:t>
      </w:r>
      <w:r w:rsidRPr="0045629F">
        <w:rPr>
          <w:rFonts w:cs="Times New Roman"/>
          <w:sz w:val="24"/>
          <w:lang w:val="es-419"/>
        </w:rPr>
        <w:t xml:space="preserve">. Tesis de Licenciatura. Universidad </w:t>
      </w:r>
      <w:r w:rsidRPr="0045629F">
        <w:rPr>
          <w:rFonts w:cs="Times New Roman"/>
          <w:sz w:val="24"/>
          <w:lang w:val="es-419"/>
        </w:rPr>
        <w:lastRenderedPageBreak/>
        <w:t>Nacional Autónoma de México. Ciudad de México. México. https://repositorio.unam.mx/contenidos/435066.</w:t>
      </w:r>
    </w:p>
    <w:p w14:paraId="3F4021F6" w14:textId="75C01FD0" w:rsidR="003213B6" w:rsidRPr="0045629F" w:rsidRDefault="003213B6" w:rsidP="005B21A8">
      <w:pPr>
        <w:pStyle w:val="ReferencesText"/>
        <w:spacing w:line="360" w:lineRule="auto"/>
        <w:rPr>
          <w:rFonts w:cs="Times New Roman"/>
          <w:sz w:val="24"/>
        </w:rPr>
      </w:pPr>
      <w:r w:rsidRPr="0045629F">
        <w:rPr>
          <w:rFonts w:cs="Times New Roman"/>
          <w:sz w:val="24"/>
          <w:lang w:val="es-419"/>
        </w:rPr>
        <w:t xml:space="preserve">Rodríguez, L., Prieto, A., Silva, R., Ávalos, H., Herrera, E., Yáñez, E., Cortés, L., Aquino, G. </w:t>
      </w:r>
      <w:r w:rsidR="00DD0026">
        <w:rPr>
          <w:rFonts w:cs="Times New Roman"/>
          <w:sz w:val="24"/>
          <w:lang w:val="es-419"/>
        </w:rPr>
        <w:t>(</w:t>
      </w:r>
      <w:r w:rsidRPr="0045629F">
        <w:rPr>
          <w:rFonts w:cs="Times New Roman"/>
          <w:sz w:val="24"/>
          <w:lang w:val="es-419"/>
        </w:rPr>
        <w:t>2020</w:t>
      </w:r>
      <w:r w:rsidR="00DD0026">
        <w:rPr>
          <w:rFonts w:cs="Times New Roman"/>
          <w:sz w:val="24"/>
          <w:lang w:val="es-419"/>
        </w:rPr>
        <w:t>)</w:t>
      </w:r>
      <w:r w:rsidRPr="0045629F">
        <w:rPr>
          <w:rFonts w:cs="Times New Roman"/>
          <w:sz w:val="24"/>
          <w:lang w:val="es-419"/>
        </w:rPr>
        <w:t xml:space="preserve">. </w:t>
      </w:r>
      <w:r w:rsidRPr="00DD0026">
        <w:rPr>
          <w:rFonts w:cs="Times New Roman"/>
          <w:sz w:val="24"/>
        </w:rPr>
        <w:t>Identification and Selection of Regional Plants with Potential for Phytoremediation in Abandoned Open Pit Tailing Dams</w:t>
      </w:r>
      <w:r w:rsidRPr="0045629F">
        <w:rPr>
          <w:rFonts w:cs="Times New Roman"/>
          <w:sz w:val="24"/>
        </w:rPr>
        <w:t xml:space="preserve">. </w:t>
      </w:r>
      <w:r w:rsidRPr="00DD0026">
        <w:rPr>
          <w:rFonts w:cs="Times New Roman"/>
          <w:i/>
          <w:iCs/>
          <w:sz w:val="24"/>
        </w:rPr>
        <w:t>Journal of Environmental Science and Engineering</w:t>
      </w:r>
      <w:r w:rsidRPr="0045629F">
        <w:rPr>
          <w:rFonts w:cs="Times New Roman"/>
          <w:sz w:val="24"/>
        </w:rPr>
        <w:t>. 9: 56-65. https://doi.org/10.17265/2162-5298/2020.02.002.</w:t>
      </w:r>
    </w:p>
    <w:p w14:paraId="1A63B76E" w14:textId="6E8D2AF7" w:rsidR="003213B6" w:rsidRPr="0045629F" w:rsidRDefault="003213B6" w:rsidP="005B21A8">
      <w:pPr>
        <w:pStyle w:val="ReferencesText"/>
        <w:spacing w:line="360" w:lineRule="auto"/>
        <w:rPr>
          <w:rFonts w:cs="Times New Roman"/>
          <w:sz w:val="24"/>
          <w:lang w:val="es-419"/>
        </w:rPr>
      </w:pPr>
      <w:r w:rsidRPr="0045629F">
        <w:rPr>
          <w:rFonts w:cs="Times New Roman"/>
          <w:sz w:val="24"/>
        </w:rPr>
        <w:t xml:space="preserve">Ruiz-Fernández, E., F. </w:t>
      </w:r>
      <w:proofErr w:type="spellStart"/>
      <w:r w:rsidRPr="0045629F">
        <w:rPr>
          <w:rFonts w:cs="Times New Roman"/>
          <w:sz w:val="24"/>
        </w:rPr>
        <w:t>Rochín-Berumen</w:t>
      </w:r>
      <w:proofErr w:type="spellEnd"/>
      <w:r w:rsidRPr="0045629F">
        <w:rPr>
          <w:rFonts w:cs="Times New Roman"/>
          <w:sz w:val="24"/>
        </w:rPr>
        <w:t xml:space="preserve">, C. </w:t>
      </w:r>
      <w:proofErr w:type="spellStart"/>
      <w:r w:rsidRPr="0045629F">
        <w:rPr>
          <w:rFonts w:cs="Times New Roman"/>
          <w:sz w:val="24"/>
        </w:rPr>
        <w:t>Aréchiga</w:t>
      </w:r>
      <w:proofErr w:type="spellEnd"/>
      <w:r w:rsidRPr="0045629F">
        <w:rPr>
          <w:rFonts w:cs="Times New Roman"/>
          <w:sz w:val="24"/>
        </w:rPr>
        <w:t>-Flores, P. Hernández-</w:t>
      </w:r>
      <w:proofErr w:type="spellStart"/>
      <w:r w:rsidRPr="0045629F">
        <w:rPr>
          <w:rFonts w:cs="Times New Roman"/>
          <w:sz w:val="24"/>
        </w:rPr>
        <w:t>Briano</w:t>
      </w:r>
      <w:proofErr w:type="spellEnd"/>
      <w:r w:rsidRPr="0045629F">
        <w:rPr>
          <w:rFonts w:cs="Times New Roman"/>
          <w:sz w:val="24"/>
        </w:rPr>
        <w:t xml:space="preserve">, M. </w:t>
      </w:r>
      <w:proofErr w:type="spellStart"/>
      <w:r w:rsidRPr="0045629F">
        <w:rPr>
          <w:rFonts w:cs="Times New Roman"/>
          <w:sz w:val="24"/>
        </w:rPr>
        <w:t>Rincón</w:t>
      </w:r>
      <w:proofErr w:type="spellEnd"/>
      <w:r w:rsidRPr="0045629F">
        <w:rPr>
          <w:rFonts w:cs="Times New Roman"/>
          <w:sz w:val="24"/>
        </w:rPr>
        <w:t xml:space="preserve">-Delgado. </w:t>
      </w:r>
      <w:r w:rsidR="00DD0026" w:rsidRPr="009D55A7">
        <w:rPr>
          <w:rFonts w:cs="Times New Roman"/>
          <w:sz w:val="24"/>
          <w:lang w:val="es-419"/>
        </w:rPr>
        <w:t>(</w:t>
      </w:r>
      <w:r w:rsidRPr="0045629F">
        <w:rPr>
          <w:rFonts w:cs="Times New Roman"/>
          <w:sz w:val="24"/>
          <w:lang w:val="es-419"/>
        </w:rPr>
        <w:t>2019</w:t>
      </w:r>
      <w:r w:rsidR="00DD0026">
        <w:rPr>
          <w:rFonts w:cs="Times New Roman"/>
          <w:sz w:val="24"/>
          <w:lang w:val="es-419"/>
        </w:rPr>
        <w:t>)</w:t>
      </w:r>
      <w:r w:rsidRPr="0045629F">
        <w:rPr>
          <w:rFonts w:cs="Times New Roman"/>
          <w:sz w:val="24"/>
          <w:lang w:val="es-419"/>
        </w:rPr>
        <w:t xml:space="preserve">. </w:t>
      </w:r>
      <w:r w:rsidRPr="00DD0026">
        <w:rPr>
          <w:rFonts w:cs="Times New Roman"/>
          <w:sz w:val="24"/>
          <w:lang w:val="es-419"/>
        </w:rPr>
        <w:t xml:space="preserve">Impacto ecológico de la reforestación con la especie arbustiva </w:t>
      </w:r>
      <w:proofErr w:type="spellStart"/>
      <w:r w:rsidRPr="00DD0026">
        <w:rPr>
          <w:rFonts w:cs="Times New Roman"/>
          <w:sz w:val="24"/>
          <w:lang w:val="es-419"/>
        </w:rPr>
        <w:t>Atriplex</w:t>
      </w:r>
      <w:proofErr w:type="spellEnd"/>
      <w:r w:rsidRPr="00DD0026">
        <w:rPr>
          <w:rFonts w:cs="Times New Roman"/>
          <w:sz w:val="24"/>
          <w:lang w:val="es-419"/>
        </w:rPr>
        <w:t xml:space="preserve"> </w:t>
      </w:r>
      <w:proofErr w:type="spellStart"/>
      <w:r w:rsidRPr="00DD0026">
        <w:rPr>
          <w:rFonts w:cs="Times New Roman"/>
          <w:sz w:val="24"/>
          <w:lang w:val="es-419"/>
        </w:rPr>
        <w:t>canescens</w:t>
      </w:r>
      <w:proofErr w:type="spellEnd"/>
      <w:r w:rsidRPr="00DD0026">
        <w:rPr>
          <w:rFonts w:cs="Times New Roman"/>
          <w:sz w:val="24"/>
          <w:lang w:val="es-419"/>
        </w:rPr>
        <w:t xml:space="preserve"> (</w:t>
      </w:r>
      <w:proofErr w:type="spellStart"/>
      <w:r w:rsidRPr="00DD0026">
        <w:rPr>
          <w:rFonts w:cs="Times New Roman"/>
          <w:sz w:val="24"/>
          <w:lang w:val="es-419"/>
        </w:rPr>
        <w:t>Pursh</w:t>
      </w:r>
      <w:proofErr w:type="spellEnd"/>
      <w:r w:rsidRPr="00DD0026">
        <w:rPr>
          <w:rFonts w:cs="Times New Roman"/>
          <w:sz w:val="24"/>
          <w:lang w:val="es-419"/>
        </w:rPr>
        <w:t xml:space="preserve">) Nutt. en un matorral desértico </w:t>
      </w:r>
      <w:proofErr w:type="spellStart"/>
      <w:r w:rsidRPr="00DD0026">
        <w:rPr>
          <w:rFonts w:cs="Times New Roman"/>
          <w:sz w:val="24"/>
          <w:lang w:val="es-419"/>
        </w:rPr>
        <w:t>micrófilo</w:t>
      </w:r>
      <w:proofErr w:type="spellEnd"/>
      <w:r w:rsidRPr="0045629F">
        <w:rPr>
          <w:rFonts w:cs="Times New Roman"/>
          <w:sz w:val="24"/>
          <w:lang w:val="es-419"/>
        </w:rPr>
        <w:t xml:space="preserve">. </w:t>
      </w:r>
      <w:r w:rsidRPr="00DD0026">
        <w:rPr>
          <w:rFonts w:cs="Times New Roman"/>
          <w:i/>
          <w:iCs/>
          <w:sz w:val="24"/>
          <w:lang w:val="es-419"/>
        </w:rPr>
        <w:t>Abanico Agroforestal</w:t>
      </w:r>
      <w:r w:rsidRPr="0045629F">
        <w:rPr>
          <w:rFonts w:cs="Times New Roman"/>
          <w:sz w:val="24"/>
          <w:lang w:val="es-419"/>
        </w:rPr>
        <w:t>. 9: 1-14. https://abanicoacademico.mx/revistasabanico/index.php/abanico-agroforestal/article/view/189/245</w:t>
      </w:r>
    </w:p>
    <w:p w14:paraId="7E80C15C" w14:textId="3569076C" w:rsidR="003213B6" w:rsidRPr="0045629F" w:rsidRDefault="00DD0026" w:rsidP="005B21A8">
      <w:pPr>
        <w:pStyle w:val="ReferencesText"/>
        <w:spacing w:line="360" w:lineRule="auto"/>
        <w:rPr>
          <w:rFonts w:cs="Times New Roman"/>
          <w:sz w:val="24"/>
        </w:rPr>
      </w:pPr>
      <w:r w:rsidRPr="0037496B">
        <w:rPr>
          <w:rFonts w:cs="Times New Roman"/>
          <w:noProof/>
          <w:sz w:val="24"/>
          <w:lang w:val="es-419" w:eastAsia="es-MX"/>
        </w:rPr>
        <w:t xml:space="preserve">Santos, A., R. Cruz-Ortega, D. Meza-Figueroa, F. Romero, J. Sánchez-Escalante, R. Maier, J. Neilson, L. Alcaraz, F. Molina. </w:t>
      </w:r>
      <w:r w:rsidRPr="00E164E6">
        <w:rPr>
          <w:rFonts w:cs="Times New Roman"/>
          <w:noProof/>
          <w:sz w:val="24"/>
          <w:lang w:eastAsia="es-MX"/>
        </w:rPr>
        <w:t>(</w:t>
      </w:r>
      <w:r w:rsidRPr="0037496B">
        <w:rPr>
          <w:rFonts w:cs="Times New Roman"/>
          <w:noProof/>
          <w:sz w:val="24"/>
          <w:lang w:eastAsia="es-MX"/>
        </w:rPr>
        <w:t>2017</w:t>
      </w:r>
      <w:r>
        <w:rPr>
          <w:rFonts w:cs="Times New Roman"/>
          <w:noProof/>
          <w:sz w:val="24"/>
          <w:lang w:eastAsia="es-MX"/>
        </w:rPr>
        <w:t>)</w:t>
      </w:r>
      <w:r w:rsidRPr="0037496B">
        <w:rPr>
          <w:rFonts w:cs="Times New Roman"/>
          <w:noProof/>
          <w:sz w:val="24"/>
          <w:lang w:eastAsia="es-MX"/>
        </w:rPr>
        <w:t xml:space="preserve">. Plants from the abandoned Nacozari mine tailings: evaluation of their phytostabilization potential. </w:t>
      </w:r>
      <w:r w:rsidRPr="00E628D7">
        <w:rPr>
          <w:rFonts w:cs="Times New Roman"/>
          <w:i/>
          <w:iCs/>
          <w:noProof/>
          <w:sz w:val="24"/>
          <w:lang w:eastAsia="es-MX"/>
        </w:rPr>
        <w:t>Peer Journal</w:t>
      </w:r>
      <w:r w:rsidRPr="0037496B">
        <w:rPr>
          <w:rFonts w:cs="Times New Roman"/>
          <w:noProof/>
          <w:sz w:val="24"/>
          <w:lang w:eastAsia="es-MX"/>
        </w:rPr>
        <w:t>. 5:3280.</w:t>
      </w:r>
      <w:r>
        <w:rPr>
          <w:rFonts w:cs="Times New Roman"/>
          <w:noProof/>
          <w:sz w:val="24"/>
          <w:lang w:eastAsia="es-MX"/>
        </w:rPr>
        <w:t xml:space="preserve"> </w:t>
      </w:r>
      <w:r w:rsidR="003213B6" w:rsidRPr="0045629F">
        <w:rPr>
          <w:rFonts w:cs="Times New Roman"/>
          <w:sz w:val="24"/>
        </w:rPr>
        <w:t>https://doi.org/10.7717/peerj.3280.</w:t>
      </w:r>
    </w:p>
    <w:p w14:paraId="2C86F4CA" w14:textId="31702F4A" w:rsidR="003213B6" w:rsidRPr="0045629F" w:rsidRDefault="00DD0026" w:rsidP="005B21A8">
      <w:pPr>
        <w:pStyle w:val="ReferencesText"/>
        <w:spacing w:line="360" w:lineRule="auto"/>
        <w:rPr>
          <w:rFonts w:cs="Times New Roman"/>
          <w:sz w:val="24"/>
          <w:lang w:val="es-419"/>
        </w:rPr>
      </w:pPr>
      <w:r w:rsidRPr="00DD0026">
        <w:rPr>
          <w:rFonts w:cs="Times New Roman"/>
          <w:noProof/>
          <w:sz w:val="24"/>
          <w:lang w:eastAsia="es-MX"/>
        </w:rPr>
        <w:t xml:space="preserve">Valdez, A., L. Arce, I. Cevallos. </w:t>
      </w:r>
      <w:r w:rsidRPr="00E164E6">
        <w:rPr>
          <w:rFonts w:cs="Times New Roman"/>
          <w:noProof/>
          <w:sz w:val="24"/>
          <w:lang w:val="es-419" w:eastAsia="es-MX"/>
        </w:rPr>
        <w:t xml:space="preserve">(2003). </w:t>
      </w:r>
      <w:r w:rsidRPr="0037496B">
        <w:rPr>
          <w:rFonts w:cs="Times New Roman"/>
          <w:noProof/>
          <w:sz w:val="24"/>
          <w:lang w:val="es-419" w:eastAsia="es-MX"/>
        </w:rPr>
        <w:t xml:space="preserve">Eliminación de latencia en semilla de costilla de vaca (Atriplex canescens) bajo condiciones de laboratorio e invernadero, utilizando tratamientos físicos, químicos y mecánicos. </w:t>
      </w:r>
      <w:r w:rsidRPr="00E628D7">
        <w:rPr>
          <w:rFonts w:cs="Times New Roman"/>
          <w:i/>
          <w:iCs/>
          <w:noProof/>
          <w:sz w:val="24"/>
          <w:lang w:val="es-419" w:eastAsia="es-MX"/>
        </w:rPr>
        <w:t>Revista Agropecuaria</w:t>
      </w:r>
      <w:r w:rsidRPr="0037496B">
        <w:rPr>
          <w:rFonts w:cs="Times New Roman"/>
          <w:noProof/>
          <w:sz w:val="24"/>
          <w:lang w:val="es-419" w:eastAsia="es-MX"/>
        </w:rPr>
        <w:t>. 464:470.</w:t>
      </w:r>
      <w:r>
        <w:rPr>
          <w:rFonts w:cs="Times New Roman"/>
          <w:noProof/>
          <w:sz w:val="24"/>
          <w:lang w:val="es-419" w:eastAsia="es-MX"/>
        </w:rPr>
        <w:t xml:space="preserve"> </w:t>
      </w:r>
      <w:r w:rsidR="003213B6" w:rsidRPr="0045629F">
        <w:rPr>
          <w:rFonts w:cs="Times New Roman"/>
          <w:sz w:val="24"/>
          <w:lang w:val="es-419"/>
        </w:rPr>
        <w:t>http://www.uaaan.mx/DirInv/Rdos2003/tecsemillas/atriplex.pdf.</w:t>
      </w:r>
    </w:p>
    <w:p w14:paraId="5069A15B" w14:textId="37288941" w:rsidR="003213B6" w:rsidRPr="0045629F" w:rsidRDefault="003213B6" w:rsidP="005B21A8">
      <w:pPr>
        <w:pStyle w:val="ReferencesText"/>
        <w:spacing w:line="360" w:lineRule="auto"/>
        <w:rPr>
          <w:rFonts w:cs="Times New Roman"/>
          <w:sz w:val="24"/>
        </w:rPr>
      </w:pPr>
      <w:r w:rsidRPr="0045629F">
        <w:rPr>
          <w:rFonts w:cs="Times New Roman"/>
          <w:sz w:val="24"/>
        </w:rPr>
        <w:t xml:space="preserve">Zhang, Y., Ji, H. </w:t>
      </w:r>
      <w:r w:rsidR="00DD0026">
        <w:rPr>
          <w:rFonts w:cs="Times New Roman"/>
          <w:sz w:val="24"/>
        </w:rPr>
        <w:t>(</w:t>
      </w:r>
      <w:r w:rsidRPr="0045629F">
        <w:rPr>
          <w:rFonts w:cs="Times New Roman"/>
          <w:sz w:val="24"/>
        </w:rPr>
        <w:t>2019</w:t>
      </w:r>
      <w:r w:rsidR="00DD0026">
        <w:rPr>
          <w:rFonts w:cs="Times New Roman"/>
          <w:sz w:val="24"/>
        </w:rPr>
        <w:t>)</w:t>
      </w:r>
      <w:r w:rsidRPr="0045629F">
        <w:rPr>
          <w:rFonts w:cs="Times New Roman"/>
          <w:sz w:val="24"/>
        </w:rPr>
        <w:t xml:space="preserve">. </w:t>
      </w:r>
      <w:r w:rsidRPr="00DD0026">
        <w:rPr>
          <w:rFonts w:cs="Times New Roman"/>
          <w:sz w:val="24"/>
        </w:rPr>
        <w:t>Physiological responses, and accumulation characteristics of turfgrasses exposed to potentially toxic elements</w:t>
      </w:r>
      <w:r w:rsidRPr="0045629F">
        <w:rPr>
          <w:rFonts w:cs="Times New Roman"/>
          <w:sz w:val="24"/>
        </w:rPr>
        <w:t xml:space="preserve">. </w:t>
      </w:r>
      <w:r w:rsidRPr="00DD0026">
        <w:rPr>
          <w:rFonts w:cs="Times New Roman"/>
          <w:i/>
          <w:iCs/>
          <w:sz w:val="24"/>
        </w:rPr>
        <w:t>Journal Environment Management</w:t>
      </w:r>
      <w:r w:rsidRPr="0045629F">
        <w:rPr>
          <w:rFonts w:cs="Times New Roman"/>
          <w:sz w:val="24"/>
        </w:rPr>
        <w:t>. 15 (246):796-807. https://doi.org/10.1016/j.jenvman.2019.06.030.</w:t>
      </w:r>
    </w:p>
    <w:p w14:paraId="1CFF5683" w14:textId="6DCC01B7" w:rsidR="0045629F" w:rsidRPr="0045629F" w:rsidRDefault="003213B6" w:rsidP="005B21A8">
      <w:pPr>
        <w:spacing w:line="360" w:lineRule="auto"/>
        <w:ind w:left="720" w:hanging="720"/>
        <w:jc w:val="both"/>
        <w:rPr>
          <w:lang w:val="es-419"/>
        </w:rPr>
      </w:pPr>
      <w:r w:rsidRPr="0045629F">
        <w:t xml:space="preserve">Zhang, Y., X. Wang, H. Ji. </w:t>
      </w:r>
      <w:r w:rsidR="00DD0026">
        <w:t>(</w:t>
      </w:r>
      <w:r w:rsidRPr="0045629F">
        <w:t>2020</w:t>
      </w:r>
      <w:r w:rsidR="00DD0026">
        <w:t>)</w:t>
      </w:r>
      <w:r w:rsidRPr="0045629F">
        <w:t xml:space="preserve">. </w:t>
      </w:r>
      <w:r w:rsidRPr="00DD0026">
        <w:t xml:space="preserve">Co-remediation of Pb Contaminated Soils by Heat Modified Sawdust and Festuca </w:t>
      </w:r>
      <w:proofErr w:type="spellStart"/>
      <w:r w:rsidRPr="00DD0026">
        <w:t>arundinacea</w:t>
      </w:r>
      <w:proofErr w:type="spellEnd"/>
      <w:r w:rsidRPr="0045629F">
        <w:t xml:space="preserve">. </w:t>
      </w:r>
      <w:proofErr w:type="spellStart"/>
      <w:r w:rsidRPr="00DD0026">
        <w:rPr>
          <w:i/>
          <w:iCs/>
          <w:lang w:val="es-419"/>
        </w:rPr>
        <w:t>Scientific</w:t>
      </w:r>
      <w:proofErr w:type="spellEnd"/>
      <w:r w:rsidRPr="00DD0026">
        <w:rPr>
          <w:i/>
          <w:iCs/>
          <w:lang w:val="es-419"/>
        </w:rPr>
        <w:t xml:space="preserve"> </w:t>
      </w:r>
      <w:proofErr w:type="spellStart"/>
      <w:r w:rsidRPr="00DD0026">
        <w:rPr>
          <w:i/>
          <w:iCs/>
          <w:lang w:val="es-419"/>
        </w:rPr>
        <w:t>Reports</w:t>
      </w:r>
      <w:proofErr w:type="spellEnd"/>
      <w:r w:rsidRPr="0045629F">
        <w:rPr>
          <w:lang w:val="es-419"/>
        </w:rPr>
        <w:t xml:space="preserve"> 10: 4663-4669. </w:t>
      </w:r>
      <w:r w:rsidRPr="00DD0026">
        <w:rPr>
          <w:lang w:val="es-419"/>
        </w:rPr>
        <w:t>https://doi.org/10.1038/s41598-020-61668-x</w:t>
      </w:r>
      <w:r w:rsidRPr="0045629F">
        <w:rPr>
          <w:lang w:val="es-419"/>
        </w:rPr>
        <w:t>.</w:t>
      </w:r>
    </w:p>
    <w:sectPr w:rsidR="0045629F" w:rsidRPr="0045629F" w:rsidSect="005B21A8">
      <w:headerReference w:type="default" r:id="rId8"/>
      <w:footerReference w:type="default" r:id="rId9"/>
      <w:pgSz w:w="12240" w:h="15840"/>
      <w:pgMar w:top="1417"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BCE74" w14:textId="77777777" w:rsidR="00716BCE" w:rsidRDefault="00716BCE" w:rsidP="002E478D">
      <w:r>
        <w:separator/>
      </w:r>
    </w:p>
  </w:endnote>
  <w:endnote w:type="continuationSeparator" w:id="0">
    <w:p w14:paraId="5E3C8D5F" w14:textId="77777777" w:rsidR="00716BCE" w:rsidRDefault="00716BCE" w:rsidP="002E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entury Gothic"/>
    <w:charset w:val="00"/>
    <w:family w:val="swiss"/>
    <w:pitch w:val="variable"/>
    <w:sig w:usb0="00000003" w:usb1="00000000" w:usb2="00000000" w:usb3="00000000" w:csb0="00000001" w:csb1="00000000"/>
  </w:font>
  <w:font w:name="AGaramondPro-BoldItalic">
    <w:altName w:val="Cambria"/>
    <w:panose1 w:val="00000000000000000000"/>
    <w:charset w:val="00"/>
    <w:family w:val="roman"/>
    <w:notTrueType/>
    <w:pitch w:val="default"/>
  </w:font>
  <w:font w:name="AGaramondPro-Bold">
    <w:altName w:val="Cambria"/>
    <w:panose1 w:val="00000000000000000000"/>
    <w:charset w:val="00"/>
    <w:family w:val="roman"/>
    <w:notTrueType/>
    <w:pitch w:val="default"/>
  </w:font>
  <w:font w:name="HiddenHorzOCR-Identity-H">
    <w:altName w:val="Cambria"/>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szCs w:val="14"/>
      </w:rPr>
      <w:id w:val="-1678264039"/>
      <w:docPartObj>
        <w:docPartGallery w:val="Page Numbers (Bottom of Page)"/>
        <w:docPartUnique/>
      </w:docPartObj>
    </w:sdtPr>
    <w:sdtContent>
      <w:p w14:paraId="6F06C58F" w14:textId="39BEA8A9" w:rsidR="00305153" w:rsidRPr="005B21A8" w:rsidRDefault="005B21A8" w:rsidP="005B21A8">
        <w:pPr>
          <w:pStyle w:val="Piedepgina"/>
          <w:jc w:val="center"/>
          <w:rPr>
            <w:rFonts w:asciiTheme="minorHAnsi" w:hAnsiTheme="minorHAnsi" w:cstheme="minorHAnsi"/>
          </w:rPr>
        </w:pPr>
        <w:r w:rsidRPr="005B21A8">
          <w:rPr>
            <w:rFonts w:asciiTheme="minorHAnsi" w:hAnsiTheme="minorHAnsi" w:cstheme="minorHAnsi"/>
            <w:b/>
            <w:sz w:val="22"/>
            <w:szCs w:val="14"/>
          </w:rPr>
          <w:t xml:space="preserve">Vol. 7, Núm. 13                   </w:t>
        </w:r>
        <w:proofErr w:type="gramStart"/>
        <w:r w:rsidRPr="005B21A8">
          <w:rPr>
            <w:rFonts w:asciiTheme="minorHAnsi" w:hAnsiTheme="minorHAnsi" w:cstheme="minorHAnsi"/>
            <w:b/>
            <w:sz w:val="22"/>
            <w:szCs w:val="14"/>
          </w:rPr>
          <w:t>Enero</w:t>
        </w:r>
        <w:proofErr w:type="gramEnd"/>
        <w:r w:rsidRPr="005B21A8">
          <w:rPr>
            <w:rFonts w:asciiTheme="minorHAnsi" w:hAnsiTheme="minorHAnsi" w:cstheme="minorHAnsi"/>
            <w:b/>
            <w:sz w:val="22"/>
            <w:szCs w:val="14"/>
          </w:rPr>
          <w:t xml:space="preserve"> – Junio 2020                           CTES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4F18A" w14:textId="77777777" w:rsidR="00716BCE" w:rsidRDefault="00716BCE" w:rsidP="002E478D">
      <w:r>
        <w:separator/>
      </w:r>
    </w:p>
  </w:footnote>
  <w:footnote w:type="continuationSeparator" w:id="0">
    <w:p w14:paraId="531EF945" w14:textId="77777777" w:rsidR="00716BCE" w:rsidRDefault="00716BCE" w:rsidP="002E4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7D3CF" w14:textId="1363CA1A" w:rsidR="005B21A8" w:rsidRDefault="005B21A8" w:rsidP="005B21A8">
    <w:pPr>
      <w:pStyle w:val="Encabezado"/>
      <w:jc w:val="center"/>
    </w:pPr>
    <w:r>
      <w:rPr>
        <w:noProof/>
        <w:lang w:eastAsia="es-MX"/>
      </w:rPr>
      <w:drawing>
        <wp:inline distT="0" distB="0" distL="0" distR="0" wp14:anchorId="764D0F86" wp14:editId="05597DD8">
          <wp:extent cx="5490845" cy="63254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632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9.5pt;height:9.5pt;visibility:visible" o:bullet="t">
        <v:imagedata r:id="rId1" o:title=""/>
      </v:shape>
    </w:pict>
  </w:numPicBullet>
  <w:abstractNum w:abstractNumId="0" w15:restartNumberingAfterBreak="0">
    <w:nsid w:val="01E152B4"/>
    <w:multiLevelType w:val="hybridMultilevel"/>
    <w:tmpl w:val="2BE0A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152AD6"/>
    <w:multiLevelType w:val="multilevel"/>
    <w:tmpl w:val="4198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E7FB6"/>
    <w:multiLevelType w:val="multilevel"/>
    <w:tmpl w:val="55923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9E3063"/>
    <w:multiLevelType w:val="hybridMultilevel"/>
    <w:tmpl w:val="01047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9F6A27"/>
    <w:multiLevelType w:val="multilevel"/>
    <w:tmpl w:val="750A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357968"/>
    <w:multiLevelType w:val="multilevel"/>
    <w:tmpl w:val="D86E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E24BA3"/>
    <w:multiLevelType w:val="multilevel"/>
    <w:tmpl w:val="E5D26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D0B68"/>
    <w:multiLevelType w:val="multilevel"/>
    <w:tmpl w:val="9466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67924"/>
    <w:multiLevelType w:val="multilevel"/>
    <w:tmpl w:val="3DEAA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F6D69"/>
    <w:multiLevelType w:val="multilevel"/>
    <w:tmpl w:val="60D6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40EEB"/>
    <w:multiLevelType w:val="multilevel"/>
    <w:tmpl w:val="F75AE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32743C"/>
    <w:multiLevelType w:val="multilevel"/>
    <w:tmpl w:val="EF506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22782"/>
    <w:multiLevelType w:val="multilevel"/>
    <w:tmpl w:val="DE60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D2A9C"/>
    <w:multiLevelType w:val="multilevel"/>
    <w:tmpl w:val="AD121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E0835"/>
    <w:multiLevelType w:val="multilevel"/>
    <w:tmpl w:val="10807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9F646D"/>
    <w:multiLevelType w:val="hybridMultilevel"/>
    <w:tmpl w:val="043CD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3978E1"/>
    <w:multiLevelType w:val="multilevel"/>
    <w:tmpl w:val="22407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0E42DC"/>
    <w:multiLevelType w:val="multilevel"/>
    <w:tmpl w:val="7548C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7F336A"/>
    <w:multiLevelType w:val="multilevel"/>
    <w:tmpl w:val="2D461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C50C74"/>
    <w:multiLevelType w:val="multilevel"/>
    <w:tmpl w:val="F3161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965C65"/>
    <w:multiLevelType w:val="hybridMultilevel"/>
    <w:tmpl w:val="B7A0F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2076F1"/>
    <w:multiLevelType w:val="multilevel"/>
    <w:tmpl w:val="8D48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61855"/>
    <w:multiLevelType w:val="multilevel"/>
    <w:tmpl w:val="6034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515231"/>
    <w:multiLevelType w:val="multilevel"/>
    <w:tmpl w:val="F614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66F7D"/>
    <w:multiLevelType w:val="multilevel"/>
    <w:tmpl w:val="BCB4C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353B8E"/>
    <w:multiLevelType w:val="multilevel"/>
    <w:tmpl w:val="06A8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5E7162"/>
    <w:multiLevelType w:val="multilevel"/>
    <w:tmpl w:val="F9DAD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B67192"/>
    <w:multiLevelType w:val="multilevel"/>
    <w:tmpl w:val="8488E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AF41A6"/>
    <w:multiLevelType w:val="hybridMultilevel"/>
    <w:tmpl w:val="596E3982"/>
    <w:lvl w:ilvl="0" w:tplc="B06457BE">
      <w:start w:val="1"/>
      <w:numFmt w:val="bullet"/>
      <w:lvlText w:val="•"/>
      <w:lvlJc w:val="left"/>
      <w:pPr>
        <w:tabs>
          <w:tab w:val="num" w:pos="720"/>
        </w:tabs>
        <w:ind w:left="720" w:hanging="360"/>
      </w:pPr>
      <w:rPr>
        <w:rFonts w:ascii="Arial" w:hAnsi="Arial" w:hint="default"/>
      </w:rPr>
    </w:lvl>
    <w:lvl w:ilvl="1" w:tplc="9EBC0346" w:tentative="1">
      <w:start w:val="1"/>
      <w:numFmt w:val="bullet"/>
      <w:lvlText w:val="•"/>
      <w:lvlJc w:val="left"/>
      <w:pPr>
        <w:tabs>
          <w:tab w:val="num" w:pos="1440"/>
        </w:tabs>
        <w:ind w:left="1440" w:hanging="360"/>
      </w:pPr>
      <w:rPr>
        <w:rFonts w:ascii="Arial" w:hAnsi="Arial" w:hint="default"/>
      </w:rPr>
    </w:lvl>
    <w:lvl w:ilvl="2" w:tplc="FB2C69DC" w:tentative="1">
      <w:start w:val="1"/>
      <w:numFmt w:val="bullet"/>
      <w:lvlText w:val="•"/>
      <w:lvlJc w:val="left"/>
      <w:pPr>
        <w:tabs>
          <w:tab w:val="num" w:pos="2160"/>
        </w:tabs>
        <w:ind w:left="2160" w:hanging="360"/>
      </w:pPr>
      <w:rPr>
        <w:rFonts w:ascii="Arial" w:hAnsi="Arial" w:hint="default"/>
      </w:rPr>
    </w:lvl>
    <w:lvl w:ilvl="3" w:tplc="8C1A4B46" w:tentative="1">
      <w:start w:val="1"/>
      <w:numFmt w:val="bullet"/>
      <w:lvlText w:val="•"/>
      <w:lvlJc w:val="left"/>
      <w:pPr>
        <w:tabs>
          <w:tab w:val="num" w:pos="2880"/>
        </w:tabs>
        <w:ind w:left="2880" w:hanging="360"/>
      </w:pPr>
      <w:rPr>
        <w:rFonts w:ascii="Arial" w:hAnsi="Arial" w:hint="default"/>
      </w:rPr>
    </w:lvl>
    <w:lvl w:ilvl="4" w:tplc="2124CDB0" w:tentative="1">
      <w:start w:val="1"/>
      <w:numFmt w:val="bullet"/>
      <w:lvlText w:val="•"/>
      <w:lvlJc w:val="left"/>
      <w:pPr>
        <w:tabs>
          <w:tab w:val="num" w:pos="3600"/>
        </w:tabs>
        <w:ind w:left="3600" w:hanging="360"/>
      </w:pPr>
      <w:rPr>
        <w:rFonts w:ascii="Arial" w:hAnsi="Arial" w:hint="default"/>
      </w:rPr>
    </w:lvl>
    <w:lvl w:ilvl="5" w:tplc="51DCF2AE" w:tentative="1">
      <w:start w:val="1"/>
      <w:numFmt w:val="bullet"/>
      <w:lvlText w:val="•"/>
      <w:lvlJc w:val="left"/>
      <w:pPr>
        <w:tabs>
          <w:tab w:val="num" w:pos="4320"/>
        </w:tabs>
        <w:ind w:left="4320" w:hanging="360"/>
      </w:pPr>
      <w:rPr>
        <w:rFonts w:ascii="Arial" w:hAnsi="Arial" w:hint="default"/>
      </w:rPr>
    </w:lvl>
    <w:lvl w:ilvl="6" w:tplc="B5F4DE8A" w:tentative="1">
      <w:start w:val="1"/>
      <w:numFmt w:val="bullet"/>
      <w:lvlText w:val="•"/>
      <w:lvlJc w:val="left"/>
      <w:pPr>
        <w:tabs>
          <w:tab w:val="num" w:pos="5040"/>
        </w:tabs>
        <w:ind w:left="5040" w:hanging="360"/>
      </w:pPr>
      <w:rPr>
        <w:rFonts w:ascii="Arial" w:hAnsi="Arial" w:hint="default"/>
      </w:rPr>
    </w:lvl>
    <w:lvl w:ilvl="7" w:tplc="159EA4AC" w:tentative="1">
      <w:start w:val="1"/>
      <w:numFmt w:val="bullet"/>
      <w:lvlText w:val="•"/>
      <w:lvlJc w:val="left"/>
      <w:pPr>
        <w:tabs>
          <w:tab w:val="num" w:pos="5760"/>
        </w:tabs>
        <w:ind w:left="5760" w:hanging="360"/>
      </w:pPr>
      <w:rPr>
        <w:rFonts w:ascii="Arial" w:hAnsi="Arial" w:hint="default"/>
      </w:rPr>
    </w:lvl>
    <w:lvl w:ilvl="8" w:tplc="CC8CA28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1862CE"/>
    <w:multiLevelType w:val="multilevel"/>
    <w:tmpl w:val="44B4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B66C68"/>
    <w:multiLevelType w:val="multilevel"/>
    <w:tmpl w:val="5DE0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91976"/>
    <w:multiLevelType w:val="hybridMultilevel"/>
    <w:tmpl w:val="08CCD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65255B"/>
    <w:multiLevelType w:val="multilevel"/>
    <w:tmpl w:val="912EF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2556B6"/>
    <w:multiLevelType w:val="multilevel"/>
    <w:tmpl w:val="ABD81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5B6F8F"/>
    <w:multiLevelType w:val="hybridMultilevel"/>
    <w:tmpl w:val="C0227900"/>
    <w:lvl w:ilvl="0" w:tplc="596617E2">
      <w:start w:val="10"/>
      <w:numFmt w:val="bullet"/>
      <w:lvlText w:val="-"/>
      <w:lvlJc w:val="left"/>
      <w:pPr>
        <w:ind w:left="720" w:hanging="360"/>
      </w:pPr>
      <w:rPr>
        <w:rFonts w:ascii="Soberana Sans" w:eastAsiaTheme="majorEastAsia" w:hAnsi="Soberana San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54B55"/>
    <w:multiLevelType w:val="multilevel"/>
    <w:tmpl w:val="848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1B53DD"/>
    <w:multiLevelType w:val="multilevel"/>
    <w:tmpl w:val="FB7E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9053EB"/>
    <w:multiLevelType w:val="multilevel"/>
    <w:tmpl w:val="29A8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983F22"/>
    <w:multiLevelType w:val="multilevel"/>
    <w:tmpl w:val="8ABA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B01A8A"/>
    <w:multiLevelType w:val="multilevel"/>
    <w:tmpl w:val="9FEA6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997E28"/>
    <w:multiLevelType w:val="hybridMultilevel"/>
    <w:tmpl w:val="23DC3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A419EF"/>
    <w:multiLevelType w:val="multilevel"/>
    <w:tmpl w:val="3D74F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EC6F43"/>
    <w:multiLevelType w:val="hybridMultilevel"/>
    <w:tmpl w:val="4F78395C"/>
    <w:lvl w:ilvl="0" w:tplc="0C629058">
      <w:start w:val="1"/>
      <w:numFmt w:val="bullet"/>
      <w:lvlText w:val="•"/>
      <w:lvlJc w:val="left"/>
      <w:pPr>
        <w:tabs>
          <w:tab w:val="num" w:pos="720"/>
        </w:tabs>
        <w:ind w:left="720" w:hanging="360"/>
      </w:pPr>
      <w:rPr>
        <w:rFonts w:ascii="Arial" w:hAnsi="Arial" w:hint="default"/>
      </w:rPr>
    </w:lvl>
    <w:lvl w:ilvl="1" w:tplc="FD0EC9B8" w:tentative="1">
      <w:start w:val="1"/>
      <w:numFmt w:val="bullet"/>
      <w:lvlText w:val="•"/>
      <w:lvlJc w:val="left"/>
      <w:pPr>
        <w:tabs>
          <w:tab w:val="num" w:pos="1440"/>
        </w:tabs>
        <w:ind w:left="1440" w:hanging="360"/>
      </w:pPr>
      <w:rPr>
        <w:rFonts w:ascii="Arial" w:hAnsi="Arial" w:hint="default"/>
      </w:rPr>
    </w:lvl>
    <w:lvl w:ilvl="2" w:tplc="3340A090" w:tentative="1">
      <w:start w:val="1"/>
      <w:numFmt w:val="bullet"/>
      <w:lvlText w:val="•"/>
      <w:lvlJc w:val="left"/>
      <w:pPr>
        <w:tabs>
          <w:tab w:val="num" w:pos="2160"/>
        </w:tabs>
        <w:ind w:left="2160" w:hanging="360"/>
      </w:pPr>
      <w:rPr>
        <w:rFonts w:ascii="Arial" w:hAnsi="Arial" w:hint="default"/>
      </w:rPr>
    </w:lvl>
    <w:lvl w:ilvl="3" w:tplc="30C67DD0" w:tentative="1">
      <w:start w:val="1"/>
      <w:numFmt w:val="bullet"/>
      <w:lvlText w:val="•"/>
      <w:lvlJc w:val="left"/>
      <w:pPr>
        <w:tabs>
          <w:tab w:val="num" w:pos="2880"/>
        </w:tabs>
        <w:ind w:left="2880" w:hanging="360"/>
      </w:pPr>
      <w:rPr>
        <w:rFonts w:ascii="Arial" w:hAnsi="Arial" w:hint="default"/>
      </w:rPr>
    </w:lvl>
    <w:lvl w:ilvl="4" w:tplc="1C4CF964" w:tentative="1">
      <w:start w:val="1"/>
      <w:numFmt w:val="bullet"/>
      <w:lvlText w:val="•"/>
      <w:lvlJc w:val="left"/>
      <w:pPr>
        <w:tabs>
          <w:tab w:val="num" w:pos="3600"/>
        </w:tabs>
        <w:ind w:left="3600" w:hanging="360"/>
      </w:pPr>
      <w:rPr>
        <w:rFonts w:ascii="Arial" w:hAnsi="Arial" w:hint="default"/>
      </w:rPr>
    </w:lvl>
    <w:lvl w:ilvl="5" w:tplc="F612BA74" w:tentative="1">
      <w:start w:val="1"/>
      <w:numFmt w:val="bullet"/>
      <w:lvlText w:val="•"/>
      <w:lvlJc w:val="left"/>
      <w:pPr>
        <w:tabs>
          <w:tab w:val="num" w:pos="4320"/>
        </w:tabs>
        <w:ind w:left="4320" w:hanging="360"/>
      </w:pPr>
      <w:rPr>
        <w:rFonts w:ascii="Arial" w:hAnsi="Arial" w:hint="default"/>
      </w:rPr>
    </w:lvl>
    <w:lvl w:ilvl="6" w:tplc="94CCCA76" w:tentative="1">
      <w:start w:val="1"/>
      <w:numFmt w:val="bullet"/>
      <w:lvlText w:val="•"/>
      <w:lvlJc w:val="left"/>
      <w:pPr>
        <w:tabs>
          <w:tab w:val="num" w:pos="5040"/>
        </w:tabs>
        <w:ind w:left="5040" w:hanging="360"/>
      </w:pPr>
      <w:rPr>
        <w:rFonts w:ascii="Arial" w:hAnsi="Arial" w:hint="default"/>
      </w:rPr>
    </w:lvl>
    <w:lvl w:ilvl="7" w:tplc="C2A827E8" w:tentative="1">
      <w:start w:val="1"/>
      <w:numFmt w:val="bullet"/>
      <w:lvlText w:val="•"/>
      <w:lvlJc w:val="left"/>
      <w:pPr>
        <w:tabs>
          <w:tab w:val="num" w:pos="5760"/>
        </w:tabs>
        <w:ind w:left="5760" w:hanging="360"/>
      </w:pPr>
      <w:rPr>
        <w:rFonts w:ascii="Arial" w:hAnsi="Arial" w:hint="default"/>
      </w:rPr>
    </w:lvl>
    <w:lvl w:ilvl="8" w:tplc="7004D0B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136765"/>
    <w:multiLevelType w:val="hybridMultilevel"/>
    <w:tmpl w:val="D124F794"/>
    <w:lvl w:ilvl="0" w:tplc="E4DEB1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0C053A"/>
    <w:multiLevelType w:val="hybridMultilevel"/>
    <w:tmpl w:val="752C8718"/>
    <w:lvl w:ilvl="0" w:tplc="0D3C338A">
      <w:start w:val="1"/>
      <w:numFmt w:val="bullet"/>
      <w:lvlText w:val=""/>
      <w:lvlPicBulletId w:val="0"/>
      <w:lvlJc w:val="left"/>
      <w:pPr>
        <w:tabs>
          <w:tab w:val="num" w:pos="720"/>
        </w:tabs>
        <w:ind w:left="720" w:hanging="360"/>
      </w:pPr>
      <w:rPr>
        <w:rFonts w:ascii="Symbol" w:hAnsi="Symbol" w:hint="default"/>
      </w:rPr>
    </w:lvl>
    <w:lvl w:ilvl="1" w:tplc="917A85C8" w:tentative="1">
      <w:start w:val="1"/>
      <w:numFmt w:val="bullet"/>
      <w:lvlText w:val=""/>
      <w:lvlJc w:val="left"/>
      <w:pPr>
        <w:tabs>
          <w:tab w:val="num" w:pos="1440"/>
        </w:tabs>
        <w:ind w:left="1440" w:hanging="360"/>
      </w:pPr>
      <w:rPr>
        <w:rFonts w:ascii="Symbol" w:hAnsi="Symbol" w:hint="default"/>
      </w:rPr>
    </w:lvl>
    <w:lvl w:ilvl="2" w:tplc="BFAA5AD8" w:tentative="1">
      <w:start w:val="1"/>
      <w:numFmt w:val="bullet"/>
      <w:lvlText w:val=""/>
      <w:lvlJc w:val="left"/>
      <w:pPr>
        <w:tabs>
          <w:tab w:val="num" w:pos="2160"/>
        </w:tabs>
        <w:ind w:left="2160" w:hanging="360"/>
      </w:pPr>
      <w:rPr>
        <w:rFonts w:ascii="Symbol" w:hAnsi="Symbol" w:hint="default"/>
      </w:rPr>
    </w:lvl>
    <w:lvl w:ilvl="3" w:tplc="9B18588C" w:tentative="1">
      <w:start w:val="1"/>
      <w:numFmt w:val="bullet"/>
      <w:lvlText w:val=""/>
      <w:lvlJc w:val="left"/>
      <w:pPr>
        <w:tabs>
          <w:tab w:val="num" w:pos="2880"/>
        </w:tabs>
        <w:ind w:left="2880" w:hanging="360"/>
      </w:pPr>
      <w:rPr>
        <w:rFonts w:ascii="Symbol" w:hAnsi="Symbol" w:hint="default"/>
      </w:rPr>
    </w:lvl>
    <w:lvl w:ilvl="4" w:tplc="88BADF9C" w:tentative="1">
      <w:start w:val="1"/>
      <w:numFmt w:val="bullet"/>
      <w:lvlText w:val=""/>
      <w:lvlJc w:val="left"/>
      <w:pPr>
        <w:tabs>
          <w:tab w:val="num" w:pos="3600"/>
        </w:tabs>
        <w:ind w:left="3600" w:hanging="360"/>
      </w:pPr>
      <w:rPr>
        <w:rFonts w:ascii="Symbol" w:hAnsi="Symbol" w:hint="default"/>
      </w:rPr>
    </w:lvl>
    <w:lvl w:ilvl="5" w:tplc="05DE96D8" w:tentative="1">
      <w:start w:val="1"/>
      <w:numFmt w:val="bullet"/>
      <w:lvlText w:val=""/>
      <w:lvlJc w:val="left"/>
      <w:pPr>
        <w:tabs>
          <w:tab w:val="num" w:pos="4320"/>
        </w:tabs>
        <w:ind w:left="4320" w:hanging="360"/>
      </w:pPr>
      <w:rPr>
        <w:rFonts w:ascii="Symbol" w:hAnsi="Symbol" w:hint="default"/>
      </w:rPr>
    </w:lvl>
    <w:lvl w:ilvl="6" w:tplc="6352C5DA" w:tentative="1">
      <w:start w:val="1"/>
      <w:numFmt w:val="bullet"/>
      <w:lvlText w:val=""/>
      <w:lvlJc w:val="left"/>
      <w:pPr>
        <w:tabs>
          <w:tab w:val="num" w:pos="5040"/>
        </w:tabs>
        <w:ind w:left="5040" w:hanging="360"/>
      </w:pPr>
      <w:rPr>
        <w:rFonts w:ascii="Symbol" w:hAnsi="Symbol" w:hint="default"/>
      </w:rPr>
    </w:lvl>
    <w:lvl w:ilvl="7" w:tplc="CB9463AC" w:tentative="1">
      <w:start w:val="1"/>
      <w:numFmt w:val="bullet"/>
      <w:lvlText w:val=""/>
      <w:lvlJc w:val="left"/>
      <w:pPr>
        <w:tabs>
          <w:tab w:val="num" w:pos="5760"/>
        </w:tabs>
        <w:ind w:left="5760" w:hanging="360"/>
      </w:pPr>
      <w:rPr>
        <w:rFonts w:ascii="Symbol" w:hAnsi="Symbol" w:hint="default"/>
      </w:rPr>
    </w:lvl>
    <w:lvl w:ilvl="8" w:tplc="18746584"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18"/>
  </w:num>
  <w:num w:numId="3">
    <w:abstractNumId w:val="24"/>
  </w:num>
  <w:num w:numId="4">
    <w:abstractNumId w:val="1"/>
  </w:num>
  <w:num w:numId="5">
    <w:abstractNumId w:val="32"/>
  </w:num>
  <w:num w:numId="6">
    <w:abstractNumId w:val="41"/>
  </w:num>
  <w:num w:numId="7">
    <w:abstractNumId w:val="37"/>
  </w:num>
  <w:num w:numId="8">
    <w:abstractNumId w:val="33"/>
  </w:num>
  <w:num w:numId="9">
    <w:abstractNumId w:val="27"/>
  </w:num>
  <w:num w:numId="10">
    <w:abstractNumId w:val="39"/>
  </w:num>
  <w:num w:numId="11">
    <w:abstractNumId w:val="38"/>
  </w:num>
  <w:num w:numId="12">
    <w:abstractNumId w:val="14"/>
  </w:num>
  <w:num w:numId="13">
    <w:abstractNumId w:val="13"/>
  </w:num>
  <w:num w:numId="14">
    <w:abstractNumId w:val="26"/>
  </w:num>
  <w:num w:numId="15">
    <w:abstractNumId w:val="5"/>
  </w:num>
  <w:num w:numId="16">
    <w:abstractNumId w:val="2"/>
  </w:num>
  <w:num w:numId="17">
    <w:abstractNumId w:val="22"/>
  </w:num>
  <w:num w:numId="18">
    <w:abstractNumId w:val="16"/>
  </w:num>
  <w:num w:numId="19">
    <w:abstractNumId w:val="10"/>
  </w:num>
  <w:num w:numId="20">
    <w:abstractNumId w:val="19"/>
  </w:num>
  <w:num w:numId="21">
    <w:abstractNumId w:val="25"/>
  </w:num>
  <w:num w:numId="22">
    <w:abstractNumId w:val="4"/>
  </w:num>
  <w:num w:numId="23">
    <w:abstractNumId w:val="36"/>
  </w:num>
  <w:num w:numId="24">
    <w:abstractNumId w:val="8"/>
  </w:num>
  <w:num w:numId="25">
    <w:abstractNumId w:val="12"/>
  </w:num>
  <w:num w:numId="26">
    <w:abstractNumId w:val="6"/>
  </w:num>
  <w:num w:numId="27">
    <w:abstractNumId w:val="17"/>
  </w:num>
  <w:num w:numId="28">
    <w:abstractNumId w:val="44"/>
  </w:num>
  <w:num w:numId="29">
    <w:abstractNumId w:val="29"/>
    <w:lvlOverride w:ilvl="0">
      <w:startOverride w:val="2"/>
    </w:lvlOverride>
  </w:num>
  <w:num w:numId="30">
    <w:abstractNumId w:val="9"/>
    <w:lvlOverride w:ilvl="0">
      <w:startOverride w:val="1"/>
    </w:lvlOverride>
  </w:num>
  <w:num w:numId="31">
    <w:abstractNumId w:val="21"/>
    <w:lvlOverride w:ilvl="0">
      <w:startOverride w:val="1"/>
    </w:lvlOverride>
  </w:num>
  <w:num w:numId="32">
    <w:abstractNumId w:val="23"/>
    <w:lvlOverride w:ilvl="0"/>
    <w:lvlOverride w:ilvl="1">
      <w:startOverride w:val="1"/>
    </w:lvlOverride>
  </w:num>
  <w:num w:numId="33">
    <w:abstractNumId w:val="23"/>
    <w:lvlOverride w:ilvl="0"/>
    <w:lvlOverride w:ilvl="1">
      <w:startOverride w:val="2"/>
    </w:lvlOverride>
  </w:num>
  <w:num w:numId="34">
    <w:abstractNumId w:val="23"/>
    <w:lvlOverride w:ilvl="0"/>
    <w:lvlOverride w:ilvl="1">
      <w:startOverride w:val="3"/>
    </w:lvlOverride>
  </w:num>
  <w:num w:numId="35">
    <w:abstractNumId w:val="30"/>
    <w:lvlOverride w:ilvl="0">
      <w:startOverride w:val="2"/>
    </w:lvlOverride>
  </w:num>
  <w:num w:numId="36">
    <w:abstractNumId w:val="11"/>
    <w:lvlOverride w:ilvl="0"/>
    <w:lvlOverride w:ilvl="1">
      <w:startOverride w:val="2"/>
    </w:lvlOverride>
  </w:num>
  <w:num w:numId="37">
    <w:abstractNumId w:val="11"/>
    <w:lvlOverride w:ilvl="0"/>
    <w:lvlOverride w:ilvl="1">
      <w:startOverride w:val="3"/>
    </w:lvlOverride>
  </w:num>
  <w:num w:numId="38">
    <w:abstractNumId w:val="11"/>
    <w:lvlOverride w:ilvl="0"/>
    <w:lvlOverride w:ilvl="1">
      <w:startOverride w:val="4"/>
    </w:lvlOverride>
  </w:num>
  <w:num w:numId="39">
    <w:abstractNumId w:val="15"/>
  </w:num>
  <w:num w:numId="40">
    <w:abstractNumId w:val="20"/>
  </w:num>
  <w:num w:numId="41">
    <w:abstractNumId w:val="40"/>
  </w:num>
  <w:num w:numId="42">
    <w:abstractNumId w:val="31"/>
  </w:num>
  <w:num w:numId="43">
    <w:abstractNumId w:val="3"/>
  </w:num>
  <w:num w:numId="44">
    <w:abstractNumId w:val="0"/>
  </w:num>
  <w:num w:numId="45">
    <w:abstractNumId w:val="28"/>
  </w:num>
  <w:num w:numId="46">
    <w:abstractNumId w:val="42"/>
  </w:num>
  <w:num w:numId="47">
    <w:abstractNumId w:val="35"/>
  </w:num>
  <w:num w:numId="48">
    <w:abstractNumId w:val="43"/>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0E4"/>
    <w:rsid w:val="0000089A"/>
    <w:rsid w:val="00001F53"/>
    <w:rsid w:val="000051A9"/>
    <w:rsid w:val="00006C64"/>
    <w:rsid w:val="00012306"/>
    <w:rsid w:val="00012509"/>
    <w:rsid w:val="00013E29"/>
    <w:rsid w:val="0002357D"/>
    <w:rsid w:val="00030EA2"/>
    <w:rsid w:val="00036E24"/>
    <w:rsid w:val="000412AF"/>
    <w:rsid w:val="000423FB"/>
    <w:rsid w:val="00042B05"/>
    <w:rsid w:val="000451CB"/>
    <w:rsid w:val="00047A50"/>
    <w:rsid w:val="00050289"/>
    <w:rsid w:val="00053C6A"/>
    <w:rsid w:val="00056A8A"/>
    <w:rsid w:val="00056B4F"/>
    <w:rsid w:val="00060077"/>
    <w:rsid w:val="000667D0"/>
    <w:rsid w:val="00070FDC"/>
    <w:rsid w:val="00071BA6"/>
    <w:rsid w:val="00071C84"/>
    <w:rsid w:val="00073ECB"/>
    <w:rsid w:val="000759C1"/>
    <w:rsid w:val="00076DE9"/>
    <w:rsid w:val="000800B8"/>
    <w:rsid w:val="00080411"/>
    <w:rsid w:val="00081735"/>
    <w:rsid w:val="00083A66"/>
    <w:rsid w:val="00093C95"/>
    <w:rsid w:val="00097874"/>
    <w:rsid w:val="000A2491"/>
    <w:rsid w:val="000A7D48"/>
    <w:rsid w:val="000B1B3D"/>
    <w:rsid w:val="000B1D21"/>
    <w:rsid w:val="000C076C"/>
    <w:rsid w:val="000C0F50"/>
    <w:rsid w:val="000C2F69"/>
    <w:rsid w:val="000D25D2"/>
    <w:rsid w:val="000D4542"/>
    <w:rsid w:val="000D79DE"/>
    <w:rsid w:val="000F0A07"/>
    <w:rsid w:val="000F1A21"/>
    <w:rsid w:val="000F4A18"/>
    <w:rsid w:val="000F6494"/>
    <w:rsid w:val="000F687C"/>
    <w:rsid w:val="000F6EA6"/>
    <w:rsid w:val="000F7847"/>
    <w:rsid w:val="001011E7"/>
    <w:rsid w:val="001012D7"/>
    <w:rsid w:val="001018C7"/>
    <w:rsid w:val="0010347D"/>
    <w:rsid w:val="00105850"/>
    <w:rsid w:val="001061F1"/>
    <w:rsid w:val="00111C70"/>
    <w:rsid w:val="00112F29"/>
    <w:rsid w:val="00114323"/>
    <w:rsid w:val="00120744"/>
    <w:rsid w:val="0012240D"/>
    <w:rsid w:val="0012643C"/>
    <w:rsid w:val="00126F7C"/>
    <w:rsid w:val="001321C3"/>
    <w:rsid w:val="00134CF3"/>
    <w:rsid w:val="00135FB0"/>
    <w:rsid w:val="00141A0E"/>
    <w:rsid w:val="00143D5B"/>
    <w:rsid w:val="001504A2"/>
    <w:rsid w:val="00151CE0"/>
    <w:rsid w:val="001540C1"/>
    <w:rsid w:val="00155A45"/>
    <w:rsid w:val="00156642"/>
    <w:rsid w:val="001606D9"/>
    <w:rsid w:val="00161B3D"/>
    <w:rsid w:val="00165194"/>
    <w:rsid w:val="00171019"/>
    <w:rsid w:val="00171E35"/>
    <w:rsid w:val="00173404"/>
    <w:rsid w:val="0017594C"/>
    <w:rsid w:val="00176F1E"/>
    <w:rsid w:val="00182FB1"/>
    <w:rsid w:val="001831E0"/>
    <w:rsid w:val="0018327F"/>
    <w:rsid w:val="001845D5"/>
    <w:rsid w:val="00184B26"/>
    <w:rsid w:val="00192E35"/>
    <w:rsid w:val="00193AFF"/>
    <w:rsid w:val="00195688"/>
    <w:rsid w:val="00195D88"/>
    <w:rsid w:val="00196C34"/>
    <w:rsid w:val="001A1535"/>
    <w:rsid w:val="001A66D1"/>
    <w:rsid w:val="001A68FF"/>
    <w:rsid w:val="001A6A28"/>
    <w:rsid w:val="001B35B2"/>
    <w:rsid w:val="001B44F5"/>
    <w:rsid w:val="001B5B86"/>
    <w:rsid w:val="001C0E60"/>
    <w:rsid w:val="001C3649"/>
    <w:rsid w:val="001C6533"/>
    <w:rsid w:val="001C7B94"/>
    <w:rsid w:val="001C7BE7"/>
    <w:rsid w:val="001E1427"/>
    <w:rsid w:val="001E5A0E"/>
    <w:rsid w:val="001E6364"/>
    <w:rsid w:val="001E6F09"/>
    <w:rsid w:val="001E72D4"/>
    <w:rsid w:val="001F49C6"/>
    <w:rsid w:val="001F5A24"/>
    <w:rsid w:val="001F6631"/>
    <w:rsid w:val="001F70E3"/>
    <w:rsid w:val="0020083D"/>
    <w:rsid w:val="00202CFC"/>
    <w:rsid w:val="00203AAA"/>
    <w:rsid w:val="00205036"/>
    <w:rsid w:val="00205FA7"/>
    <w:rsid w:val="00211693"/>
    <w:rsid w:val="00211DCD"/>
    <w:rsid w:val="00216E39"/>
    <w:rsid w:val="00220467"/>
    <w:rsid w:val="002211F0"/>
    <w:rsid w:val="00222B1A"/>
    <w:rsid w:val="0022589A"/>
    <w:rsid w:val="0022741D"/>
    <w:rsid w:val="0023178A"/>
    <w:rsid w:val="00236296"/>
    <w:rsid w:val="00240761"/>
    <w:rsid w:val="00240984"/>
    <w:rsid w:val="002442FF"/>
    <w:rsid w:val="00247112"/>
    <w:rsid w:val="00247237"/>
    <w:rsid w:val="00251343"/>
    <w:rsid w:val="00252D99"/>
    <w:rsid w:val="00253555"/>
    <w:rsid w:val="00253E17"/>
    <w:rsid w:val="002553C6"/>
    <w:rsid w:val="00256A44"/>
    <w:rsid w:val="00257F2F"/>
    <w:rsid w:val="002617C5"/>
    <w:rsid w:val="002672AE"/>
    <w:rsid w:val="00272BFF"/>
    <w:rsid w:val="00274970"/>
    <w:rsid w:val="00274985"/>
    <w:rsid w:val="00274F67"/>
    <w:rsid w:val="00274FA3"/>
    <w:rsid w:val="00275D6E"/>
    <w:rsid w:val="00283EE6"/>
    <w:rsid w:val="00293EED"/>
    <w:rsid w:val="002A04BC"/>
    <w:rsid w:val="002A2AD6"/>
    <w:rsid w:val="002A2B54"/>
    <w:rsid w:val="002A3E49"/>
    <w:rsid w:val="002A63F7"/>
    <w:rsid w:val="002A6CE5"/>
    <w:rsid w:val="002B2BE3"/>
    <w:rsid w:val="002B394C"/>
    <w:rsid w:val="002B5FBC"/>
    <w:rsid w:val="002B6411"/>
    <w:rsid w:val="002B7AC2"/>
    <w:rsid w:val="002C3FE0"/>
    <w:rsid w:val="002C44D8"/>
    <w:rsid w:val="002C54B9"/>
    <w:rsid w:val="002D3DC2"/>
    <w:rsid w:val="002D4117"/>
    <w:rsid w:val="002D58B9"/>
    <w:rsid w:val="002E10D3"/>
    <w:rsid w:val="002E478D"/>
    <w:rsid w:val="002F0575"/>
    <w:rsid w:val="002F25FC"/>
    <w:rsid w:val="002F2FCF"/>
    <w:rsid w:val="002F41DC"/>
    <w:rsid w:val="002F4614"/>
    <w:rsid w:val="002F531D"/>
    <w:rsid w:val="0030057B"/>
    <w:rsid w:val="00304C49"/>
    <w:rsid w:val="00305153"/>
    <w:rsid w:val="0030786C"/>
    <w:rsid w:val="00317EAD"/>
    <w:rsid w:val="003204BE"/>
    <w:rsid w:val="003213B6"/>
    <w:rsid w:val="0032145C"/>
    <w:rsid w:val="00326968"/>
    <w:rsid w:val="00327AAE"/>
    <w:rsid w:val="00330E18"/>
    <w:rsid w:val="00331212"/>
    <w:rsid w:val="0033373C"/>
    <w:rsid w:val="003341C1"/>
    <w:rsid w:val="0033756B"/>
    <w:rsid w:val="003417B3"/>
    <w:rsid w:val="00342115"/>
    <w:rsid w:val="00342D2F"/>
    <w:rsid w:val="0035019E"/>
    <w:rsid w:val="003510DC"/>
    <w:rsid w:val="00352533"/>
    <w:rsid w:val="00360A62"/>
    <w:rsid w:val="00360F7E"/>
    <w:rsid w:val="003621D6"/>
    <w:rsid w:val="0036570B"/>
    <w:rsid w:val="00372DE4"/>
    <w:rsid w:val="0037496B"/>
    <w:rsid w:val="003759CE"/>
    <w:rsid w:val="00375F0E"/>
    <w:rsid w:val="003761D2"/>
    <w:rsid w:val="00377157"/>
    <w:rsid w:val="0038020D"/>
    <w:rsid w:val="00381D37"/>
    <w:rsid w:val="0038386A"/>
    <w:rsid w:val="00383F9C"/>
    <w:rsid w:val="00384CB6"/>
    <w:rsid w:val="00392FC5"/>
    <w:rsid w:val="00393EA5"/>
    <w:rsid w:val="003943C3"/>
    <w:rsid w:val="003943CC"/>
    <w:rsid w:val="003A04E4"/>
    <w:rsid w:val="003A1D61"/>
    <w:rsid w:val="003A777D"/>
    <w:rsid w:val="003A7CB1"/>
    <w:rsid w:val="003B44F2"/>
    <w:rsid w:val="003B47C3"/>
    <w:rsid w:val="003B4A76"/>
    <w:rsid w:val="003B7B47"/>
    <w:rsid w:val="003B7BD7"/>
    <w:rsid w:val="003C142E"/>
    <w:rsid w:val="003C1517"/>
    <w:rsid w:val="003C1A23"/>
    <w:rsid w:val="003C5239"/>
    <w:rsid w:val="003C5E6F"/>
    <w:rsid w:val="003D3D3B"/>
    <w:rsid w:val="003D7761"/>
    <w:rsid w:val="003E3059"/>
    <w:rsid w:val="003E4BAD"/>
    <w:rsid w:val="003E5531"/>
    <w:rsid w:val="003F0BA5"/>
    <w:rsid w:val="003F1CA4"/>
    <w:rsid w:val="00403378"/>
    <w:rsid w:val="00412202"/>
    <w:rsid w:val="00423DBE"/>
    <w:rsid w:val="00425BCA"/>
    <w:rsid w:val="004346FB"/>
    <w:rsid w:val="00434F70"/>
    <w:rsid w:val="00435BFE"/>
    <w:rsid w:val="00435E4B"/>
    <w:rsid w:val="00443C2E"/>
    <w:rsid w:val="00444DB8"/>
    <w:rsid w:val="00444E2A"/>
    <w:rsid w:val="00446B6D"/>
    <w:rsid w:val="00447B4F"/>
    <w:rsid w:val="00452DC6"/>
    <w:rsid w:val="00455534"/>
    <w:rsid w:val="004559EA"/>
    <w:rsid w:val="00455C3D"/>
    <w:rsid w:val="0045629F"/>
    <w:rsid w:val="00461066"/>
    <w:rsid w:val="00461268"/>
    <w:rsid w:val="00462B29"/>
    <w:rsid w:val="00463AAC"/>
    <w:rsid w:val="00471A49"/>
    <w:rsid w:val="0047226A"/>
    <w:rsid w:val="00476A43"/>
    <w:rsid w:val="0048269C"/>
    <w:rsid w:val="00483612"/>
    <w:rsid w:val="00483FB0"/>
    <w:rsid w:val="00485014"/>
    <w:rsid w:val="00485D10"/>
    <w:rsid w:val="00486D47"/>
    <w:rsid w:val="00490ED8"/>
    <w:rsid w:val="00491733"/>
    <w:rsid w:val="00491BC0"/>
    <w:rsid w:val="0049333B"/>
    <w:rsid w:val="00497ABC"/>
    <w:rsid w:val="004A2A55"/>
    <w:rsid w:val="004A3A9C"/>
    <w:rsid w:val="004A3ED6"/>
    <w:rsid w:val="004A5FDF"/>
    <w:rsid w:val="004B0172"/>
    <w:rsid w:val="004B386B"/>
    <w:rsid w:val="004B3FC0"/>
    <w:rsid w:val="004B5893"/>
    <w:rsid w:val="004B5D86"/>
    <w:rsid w:val="004B600B"/>
    <w:rsid w:val="004C5F12"/>
    <w:rsid w:val="004D177D"/>
    <w:rsid w:val="004D2255"/>
    <w:rsid w:val="004D3318"/>
    <w:rsid w:val="004D39AC"/>
    <w:rsid w:val="004D494B"/>
    <w:rsid w:val="004D56C1"/>
    <w:rsid w:val="004D6C85"/>
    <w:rsid w:val="004E14FE"/>
    <w:rsid w:val="004E1D1A"/>
    <w:rsid w:val="004E3A10"/>
    <w:rsid w:val="004F010A"/>
    <w:rsid w:val="004F3C47"/>
    <w:rsid w:val="004F5EC1"/>
    <w:rsid w:val="005017A1"/>
    <w:rsid w:val="00502E77"/>
    <w:rsid w:val="00510E1B"/>
    <w:rsid w:val="00511F35"/>
    <w:rsid w:val="00515CA6"/>
    <w:rsid w:val="00515DC4"/>
    <w:rsid w:val="0051654A"/>
    <w:rsid w:val="0052294B"/>
    <w:rsid w:val="005277B8"/>
    <w:rsid w:val="00530558"/>
    <w:rsid w:val="005343CB"/>
    <w:rsid w:val="00534654"/>
    <w:rsid w:val="005419B3"/>
    <w:rsid w:val="00541CD6"/>
    <w:rsid w:val="00542A67"/>
    <w:rsid w:val="005432B9"/>
    <w:rsid w:val="00544151"/>
    <w:rsid w:val="00544F1D"/>
    <w:rsid w:val="00546727"/>
    <w:rsid w:val="00550F99"/>
    <w:rsid w:val="00552CB8"/>
    <w:rsid w:val="005544CD"/>
    <w:rsid w:val="00554DB8"/>
    <w:rsid w:val="0055601D"/>
    <w:rsid w:val="00560C8E"/>
    <w:rsid w:val="00561808"/>
    <w:rsid w:val="0056683E"/>
    <w:rsid w:val="00570366"/>
    <w:rsid w:val="0057068C"/>
    <w:rsid w:val="0057131E"/>
    <w:rsid w:val="00571BFC"/>
    <w:rsid w:val="00572735"/>
    <w:rsid w:val="00572FCA"/>
    <w:rsid w:val="005750CB"/>
    <w:rsid w:val="00575E3E"/>
    <w:rsid w:val="005817F0"/>
    <w:rsid w:val="005830C7"/>
    <w:rsid w:val="00583B79"/>
    <w:rsid w:val="00594497"/>
    <w:rsid w:val="00595D3C"/>
    <w:rsid w:val="005A3285"/>
    <w:rsid w:val="005A548B"/>
    <w:rsid w:val="005B080F"/>
    <w:rsid w:val="005B1F38"/>
    <w:rsid w:val="005B21A8"/>
    <w:rsid w:val="005B43ED"/>
    <w:rsid w:val="005B4623"/>
    <w:rsid w:val="005C1A7F"/>
    <w:rsid w:val="005D2738"/>
    <w:rsid w:val="005D5A88"/>
    <w:rsid w:val="005E0AFE"/>
    <w:rsid w:val="005E15EB"/>
    <w:rsid w:val="005E360B"/>
    <w:rsid w:val="005E44A2"/>
    <w:rsid w:val="005F2119"/>
    <w:rsid w:val="005F7B9C"/>
    <w:rsid w:val="00601228"/>
    <w:rsid w:val="00603D3A"/>
    <w:rsid w:val="0060538B"/>
    <w:rsid w:val="006057F0"/>
    <w:rsid w:val="00607E2E"/>
    <w:rsid w:val="00607F09"/>
    <w:rsid w:val="0061127E"/>
    <w:rsid w:val="00616276"/>
    <w:rsid w:val="0062117C"/>
    <w:rsid w:val="00625BBB"/>
    <w:rsid w:val="00630F48"/>
    <w:rsid w:val="00632AAE"/>
    <w:rsid w:val="00635853"/>
    <w:rsid w:val="00636AF2"/>
    <w:rsid w:val="006408B4"/>
    <w:rsid w:val="0064248F"/>
    <w:rsid w:val="00647B51"/>
    <w:rsid w:val="00651F27"/>
    <w:rsid w:val="00661FBC"/>
    <w:rsid w:val="00663C67"/>
    <w:rsid w:val="0066474B"/>
    <w:rsid w:val="00664A59"/>
    <w:rsid w:val="00665927"/>
    <w:rsid w:val="00670D98"/>
    <w:rsid w:val="00676074"/>
    <w:rsid w:val="0067712D"/>
    <w:rsid w:val="0068518E"/>
    <w:rsid w:val="006904F6"/>
    <w:rsid w:val="00692C2A"/>
    <w:rsid w:val="00694AA9"/>
    <w:rsid w:val="006960DC"/>
    <w:rsid w:val="00696329"/>
    <w:rsid w:val="00696A66"/>
    <w:rsid w:val="00697CE4"/>
    <w:rsid w:val="006A1791"/>
    <w:rsid w:val="006A26DF"/>
    <w:rsid w:val="006A3528"/>
    <w:rsid w:val="006A6B03"/>
    <w:rsid w:val="006B29C0"/>
    <w:rsid w:val="006B5E80"/>
    <w:rsid w:val="006B7C05"/>
    <w:rsid w:val="006C0A9E"/>
    <w:rsid w:val="006C1545"/>
    <w:rsid w:val="006C5819"/>
    <w:rsid w:val="006D770C"/>
    <w:rsid w:val="006D79D8"/>
    <w:rsid w:val="006E15E4"/>
    <w:rsid w:val="006E7D18"/>
    <w:rsid w:val="006F2199"/>
    <w:rsid w:val="006F2EBC"/>
    <w:rsid w:val="006F300A"/>
    <w:rsid w:val="006F3D51"/>
    <w:rsid w:val="006F527E"/>
    <w:rsid w:val="0070175F"/>
    <w:rsid w:val="00703938"/>
    <w:rsid w:val="00704DB6"/>
    <w:rsid w:val="00710916"/>
    <w:rsid w:val="0071092D"/>
    <w:rsid w:val="00712F58"/>
    <w:rsid w:val="00712FFA"/>
    <w:rsid w:val="00716BCE"/>
    <w:rsid w:val="00721271"/>
    <w:rsid w:val="00723DAA"/>
    <w:rsid w:val="007265A8"/>
    <w:rsid w:val="00726B78"/>
    <w:rsid w:val="00730DCA"/>
    <w:rsid w:val="0073664E"/>
    <w:rsid w:val="00737EE4"/>
    <w:rsid w:val="00740816"/>
    <w:rsid w:val="00740CE7"/>
    <w:rsid w:val="00750296"/>
    <w:rsid w:val="00751ADE"/>
    <w:rsid w:val="00753E76"/>
    <w:rsid w:val="0075586D"/>
    <w:rsid w:val="00760599"/>
    <w:rsid w:val="00766A2D"/>
    <w:rsid w:val="007676FF"/>
    <w:rsid w:val="0077021D"/>
    <w:rsid w:val="00773D24"/>
    <w:rsid w:val="00775E5C"/>
    <w:rsid w:val="007773E2"/>
    <w:rsid w:val="007777E0"/>
    <w:rsid w:val="0078068E"/>
    <w:rsid w:val="00783C91"/>
    <w:rsid w:val="00784140"/>
    <w:rsid w:val="007862D4"/>
    <w:rsid w:val="007874A5"/>
    <w:rsid w:val="00787D7C"/>
    <w:rsid w:val="00790509"/>
    <w:rsid w:val="00792BFC"/>
    <w:rsid w:val="0079668C"/>
    <w:rsid w:val="00797BAA"/>
    <w:rsid w:val="007A3B20"/>
    <w:rsid w:val="007A4A40"/>
    <w:rsid w:val="007A4AB3"/>
    <w:rsid w:val="007A5844"/>
    <w:rsid w:val="007A60A0"/>
    <w:rsid w:val="007A6A47"/>
    <w:rsid w:val="007B12E6"/>
    <w:rsid w:val="007B191F"/>
    <w:rsid w:val="007B27E1"/>
    <w:rsid w:val="007B3102"/>
    <w:rsid w:val="007B388D"/>
    <w:rsid w:val="007B4D22"/>
    <w:rsid w:val="007B53BE"/>
    <w:rsid w:val="007B69D4"/>
    <w:rsid w:val="007B7BD6"/>
    <w:rsid w:val="007C2131"/>
    <w:rsid w:val="007C3D3C"/>
    <w:rsid w:val="007C60E9"/>
    <w:rsid w:val="007C74D4"/>
    <w:rsid w:val="007D6445"/>
    <w:rsid w:val="007D7102"/>
    <w:rsid w:val="007E1C19"/>
    <w:rsid w:val="007E43FC"/>
    <w:rsid w:val="007F035B"/>
    <w:rsid w:val="007F247B"/>
    <w:rsid w:val="007F42F1"/>
    <w:rsid w:val="007F5946"/>
    <w:rsid w:val="007F5984"/>
    <w:rsid w:val="007F740C"/>
    <w:rsid w:val="0080131E"/>
    <w:rsid w:val="008031EF"/>
    <w:rsid w:val="00804CE9"/>
    <w:rsid w:val="00805B22"/>
    <w:rsid w:val="00807D3A"/>
    <w:rsid w:val="00807EFC"/>
    <w:rsid w:val="008100C4"/>
    <w:rsid w:val="008102BB"/>
    <w:rsid w:val="00811029"/>
    <w:rsid w:val="008136AD"/>
    <w:rsid w:val="00816EC7"/>
    <w:rsid w:val="0082250C"/>
    <w:rsid w:val="00822B98"/>
    <w:rsid w:val="00823C4F"/>
    <w:rsid w:val="0083067C"/>
    <w:rsid w:val="00831B16"/>
    <w:rsid w:val="00832F6C"/>
    <w:rsid w:val="008342D4"/>
    <w:rsid w:val="00834ED1"/>
    <w:rsid w:val="00835FCE"/>
    <w:rsid w:val="00837444"/>
    <w:rsid w:val="00837C43"/>
    <w:rsid w:val="008409C7"/>
    <w:rsid w:val="00841437"/>
    <w:rsid w:val="0084353B"/>
    <w:rsid w:val="008501F1"/>
    <w:rsid w:val="00851876"/>
    <w:rsid w:val="00853681"/>
    <w:rsid w:val="00861538"/>
    <w:rsid w:val="008624CE"/>
    <w:rsid w:val="00863AFE"/>
    <w:rsid w:val="00864D8F"/>
    <w:rsid w:val="00866177"/>
    <w:rsid w:val="0087027E"/>
    <w:rsid w:val="00871B44"/>
    <w:rsid w:val="00873A4B"/>
    <w:rsid w:val="0087681D"/>
    <w:rsid w:val="0088164F"/>
    <w:rsid w:val="00883C06"/>
    <w:rsid w:val="00884866"/>
    <w:rsid w:val="00884B49"/>
    <w:rsid w:val="008873CC"/>
    <w:rsid w:val="00891573"/>
    <w:rsid w:val="008927B1"/>
    <w:rsid w:val="0089285F"/>
    <w:rsid w:val="0089308C"/>
    <w:rsid w:val="0089423F"/>
    <w:rsid w:val="00894FB3"/>
    <w:rsid w:val="008A1331"/>
    <w:rsid w:val="008A4ACD"/>
    <w:rsid w:val="008B639A"/>
    <w:rsid w:val="008D4227"/>
    <w:rsid w:val="008D6DE8"/>
    <w:rsid w:val="008E3177"/>
    <w:rsid w:val="008E34C9"/>
    <w:rsid w:val="008E4864"/>
    <w:rsid w:val="008E656E"/>
    <w:rsid w:val="008F0F1A"/>
    <w:rsid w:val="008F392B"/>
    <w:rsid w:val="008F53B7"/>
    <w:rsid w:val="009070AE"/>
    <w:rsid w:val="0091734B"/>
    <w:rsid w:val="009177C1"/>
    <w:rsid w:val="00917FAF"/>
    <w:rsid w:val="009227B6"/>
    <w:rsid w:val="00922F4E"/>
    <w:rsid w:val="00931533"/>
    <w:rsid w:val="009339E9"/>
    <w:rsid w:val="00940978"/>
    <w:rsid w:val="00943F9F"/>
    <w:rsid w:val="00947583"/>
    <w:rsid w:val="009539DA"/>
    <w:rsid w:val="009551F0"/>
    <w:rsid w:val="009555E2"/>
    <w:rsid w:val="009568E2"/>
    <w:rsid w:val="009622F8"/>
    <w:rsid w:val="00966590"/>
    <w:rsid w:val="009703C2"/>
    <w:rsid w:val="00975253"/>
    <w:rsid w:val="00976B04"/>
    <w:rsid w:val="009777D0"/>
    <w:rsid w:val="00982B82"/>
    <w:rsid w:val="00984817"/>
    <w:rsid w:val="00984BB7"/>
    <w:rsid w:val="00984EDE"/>
    <w:rsid w:val="00986260"/>
    <w:rsid w:val="00995144"/>
    <w:rsid w:val="009A12FF"/>
    <w:rsid w:val="009A28A1"/>
    <w:rsid w:val="009A385E"/>
    <w:rsid w:val="009A4B13"/>
    <w:rsid w:val="009A706A"/>
    <w:rsid w:val="009A7422"/>
    <w:rsid w:val="009A7D7C"/>
    <w:rsid w:val="009B2B3F"/>
    <w:rsid w:val="009B2CB7"/>
    <w:rsid w:val="009B3D78"/>
    <w:rsid w:val="009B4B13"/>
    <w:rsid w:val="009C53C6"/>
    <w:rsid w:val="009C59E3"/>
    <w:rsid w:val="009D3444"/>
    <w:rsid w:val="009D4787"/>
    <w:rsid w:val="009D55A7"/>
    <w:rsid w:val="009F0ADA"/>
    <w:rsid w:val="009F37CE"/>
    <w:rsid w:val="00A01B18"/>
    <w:rsid w:val="00A044B7"/>
    <w:rsid w:val="00A124DF"/>
    <w:rsid w:val="00A16C2F"/>
    <w:rsid w:val="00A201C3"/>
    <w:rsid w:val="00A232D5"/>
    <w:rsid w:val="00A25503"/>
    <w:rsid w:val="00A3017A"/>
    <w:rsid w:val="00A307E5"/>
    <w:rsid w:val="00A31B87"/>
    <w:rsid w:val="00A347F7"/>
    <w:rsid w:val="00A408CA"/>
    <w:rsid w:val="00A40C69"/>
    <w:rsid w:val="00A4667D"/>
    <w:rsid w:val="00A47348"/>
    <w:rsid w:val="00A55666"/>
    <w:rsid w:val="00A55A0C"/>
    <w:rsid w:val="00A60EA5"/>
    <w:rsid w:val="00A610E6"/>
    <w:rsid w:val="00A637E6"/>
    <w:rsid w:val="00A6654D"/>
    <w:rsid w:val="00A76794"/>
    <w:rsid w:val="00A81C68"/>
    <w:rsid w:val="00A8310C"/>
    <w:rsid w:val="00A84BFD"/>
    <w:rsid w:val="00A84F62"/>
    <w:rsid w:val="00A860AD"/>
    <w:rsid w:val="00A87FA9"/>
    <w:rsid w:val="00A95352"/>
    <w:rsid w:val="00A97BD3"/>
    <w:rsid w:val="00AA12E1"/>
    <w:rsid w:val="00AA2878"/>
    <w:rsid w:val="00AA3148"/>
    <w:rsid w:val="00AA4903"/>
    <w:rsid w:val="00AA616B"/>
    <w:rsid w:val="00AA69BA"/>
    <w:rsid w:val="00AA6C06"/>
    <w:rsid w:val="00AA6CE2"/>
    <w:rsid w:val="00AB4863"/>
    <w:rsid w:val="00AB7205"/>
    <w:rsid w:val="00AB7F04"/>
    <w:rsid w:val="00AC1F8C"/>
    <w:rsid w:val="00AC3F72"/>
    <w:rsid w:val="00AC52B1"/>
    <w:rsid w:val="00AD2C4C"/>
    <w:rsid w:val="00AD45A8"/>
    <w:rsid w:val="00AE24EB"/>
    <w:rsid w:val="00AE5426"/>
    <w:rsid w:val="00AF164C"/>
    <w:rsid w:val="00AF33B5"/>
    <w:rsid w:val="00B01513"/>
    <w:rsid w:val="00B0351F"/>
    <w:rsid w:val="00B07E10"/>
    <w:rsid w:val="00B126A2"/>
    <w:rsid w:val="00B12987"/>
    <w:rsid w:val="00B146A7"/>
    <w:rsid w:val="00B158BD"/>
    <w:rsid w:val="00B16C1D"/>
    <w:rsid w:val="00B17C00"/>
    <w:rsid w:val="00B239B4"/>
    <w:rsid w:val="00B27B68"/>
    <w:rsid w:val="00B3246E"/>
    <w:rsid w:val="00B4157B"/>
    <w:rsid w:val="00B41A2F"/>
    <w:rsid w:val="00B42DFF"/>
    <w:rsid w:val="00B467DF"/>
    <w:rsid w:val="00B515D4"/>
    <w:rsid w:val="00B518E6"/>
    <w:rsid w:val="00B54389"/>
    <w:rsid w:val="00B5654D"/>
    <w:rsid w:val="00B57BEF"/>
    <w:rsid w:val="00B602A4"/>
    <w:rsid w:val="00B7191A"/>
    <w:rsid w:val="00B720E6"/>
    <w:rsid w:val="00B736EB"/>
    <w:rsid w:val="00B76E3B"/>
    <w:rsid w:val="00B84AE7"/>
    <w:rsid w:val="00B86473"/>
    <w:rsid w:val="00B93F29"/>
    <w:rsid w:val="00B945E9"/>
    <w:rsid w:val="00B95C8E"/>
    <w:rsid w:val="00BA1744"/>
    <w:rsid w:val="00BA4B72"/>
    <w:rsid w:val="00BA6B0D"/>
    <w:rsid w:val="00BA77E5"/>
    <w:rsid w:val="00BB0C23"/>
    <w:rsid w:val="00BC1A76"/>
    <w:rsid w:val="00BD09D5"/>
    <w:rsid w:val="00BD1662"/>
    <w:rsid w:val="00BD1E8B"/>
    <w:rsid w:val="00BD3586"/>
    <w:rsid w:val="00BD4364"/>
    <w:rsid w:val="00BD60BF"/>
    <w:rsid w:val="00BD6970"/>
    <w:rsid w:val="00BD7D4C"/>
    <w:rsid w:val="00BF2FF1"/>
    <w:rsid w:val="00BF3388"/>
    <w:rsid w:val="00BF3BB5"/>
    <w:rsid w:val="00BF4603"/>
    <w:rsid w:val="00BF4F1E"/>
    <w:rsid w:val="00C02044"/>
    <w:rsid w:val="00C02155"/>
    <w:rsid w:val="00C028B1"/>
    <w:rsid w:val="00C03FEF"/>
    <w:rsid w:val="00C04968"/>
    <w:rsid w:val="00C0794D"/>
    <w:rsid w:val="00C20C8B"/>
    <w:rsid w:val="00C2292B"/>
    <w:rsid w:val="00C238CA"/>
    <w:rsid w:val="00C23F0A"/>
    <w:rsid w:val="00C26E3A"/>
    <w:rsid w:val="00C31173"/>
    <w:rsid w:val="00C35ECF"/>
    <w:rsid w:val="00C36ED1"/>
    <w:rsid w:val="00C43130"/>
    <w:rsid w:val="00C43AD7"/>
    <w:rsid w:val="00C45843"/>
    <w:rsid w:val="00C477ED"/>
    <w:rsid w:val="00C50188"/>
    <w:rsid w:val="00C5299C"/>
    <w:rsid w:val="00C529EC"/>
    <w:rsid w:val="00C57507"/>
    <w:rsid w:val="00C6359C"/>
    <w:rsid w:val="00C645E4"/>
    <w:rsid w:val="00C66D82"/>
    <w:rsid w:val="00C7023B"/>
    <w:rsid w:val="00C73C00"/>
    <w:rsid w:val="00C74011"/>
    <w:rsid w:val="00C82A30"/>
    <w:rsid w:val="00C82B1C"/>
    <w:rsid w:val="00C85ACF"/>
    <w:rsid w:val="00C85B14"/>
    <w:rsid w:val="00C8617A"/>
    <w:rsid w:val="00C8741E"/>
    <w:rsid w:val="00C8798B"/>
    <w:rsid w:val="00CA57B6"/>
    <w:rsid w:val="00CA5E3F"/>
    <w:rsid w:val="00CA7376"/>
    <w:rsid w:val="00CB0D5F"/>
    <w:rsid w:val="00CB1BBD"/>
    <w:rsid w:val="00CC6D18"/>
    <w:rsid w:val="00CE1388"/>
    <w:rsid w:val="00CE29B8"/>
    <w:rsid w:val="00CE2FFE"/>
    <w:rsid w:val="00CE5D08"/>
    <w:rsid w:val="00CE6491"/>
    <w:rsid w:val="00CF3606"/>
    <w:rsid w:val="00CF60C3"/>
    <w:rsid w:val="00CF734C"/>
    <w:rsid w:val="00CF7BEA"/>
    <w:rsid w:val="00CF7ED8"/>
    <w:rsid w:val="00D005E8"/>
    <w:rsid w:val="00D00987"/>
    <w:rsid w:val="00D05109"/>
    <w:rsid w:val="00D21975"/>
    <w:rsid w:val="00D2475C"/>
    <w:rsid w:val="00D278D9"/>
    <w:rsid w:val="00D30BBC"/>
    <w:rsid w:val="00D340A3"/>
    <w:rsid w:val="00D356D0"/>
    <w:rsid w:val="00D358A7"/>
    <w:rsid w:val="00D366AA"/>
    <w:rsid w:val="00D42CD5"/>
    <w:rsid w:val="00D46911"/>
    <w:rsid w:val="00D4770D"/>
    <w:rsid w:val="00D50B56"/>
    <w:rsid w:val="00D5284C"/>
    <w:rsid w:val="00D54CAC"/>
    <w:rsid w:val="00D567F6"/>
    <w:rsid w:val="00D568C4"/>
    <w:rsid w:val="00D57B3B"/>
    <w:rsid w:val="00D60326"/>
    <w:rsid w:val="00D63B4F"/>
    <w:rsid w:val="00D65C27"/>
    <w:rsid w:val="00D72EF1"/>
    <w:rsid w:val="00D76EC1"/>
    <w:rsid w:val="00D86B7B"/>
    <w:rsid w:val="00D86E71"/>
    <w:rsid w:val="00D909EE"/>
    <w:rsid w:val="00D92C05"/>
    <w:rsid w:val="00D94A32"/>
    <w:rsid w:val="00D95088"/>
    <w:rsid w:val="00D959F0"/>
    <w:rsid w:val="00D97843"/>
    <w:rsid w:val="00DA02B3"/>
    <w:rsid w:val="00DB1CE7"/>
    <w:rsid w:val="00DB3039"/>
    <w:rsid w:val="00DB76B0"/>
    <w:rsid w:val="00DC24CB"/>
    <w:rsid w:val="00DC7829"/>
    <w:rsid w:val="00DD0026"/>
    <w:rsid w:val="00DD0135"/>
    <w:rsid w:val="00DD0D82"/>
    <w:rsid w:val="00DD27AC"/>
    <w:rsid w:val="00DD392B"/>
    <w:rsid w:val="00DD7059"/>
    <w:rsid w:val="00DD7330"/>
    <w:rsid w:val="00DE3414"/>
    <w:rsid w:val="00DF190B"/>
    <w:rsid w:val="00DF4185"/>
    <w:rsid w:val="00E03D25"/>
    <w:rsid w:val="00E0720A"/>
    <w:rsid w:val="00E07654"/>
    <w:rsid w:val="00E120F3"/>
    <w:rsid w:val="00E164E6"/>
    <w:rsid w:val="00E16D6F"/>
    <w:rsid w:val="00E17428"/>
    <w:rsid w:val="00E2172E"/>
    <w:rsid w:val="00E227DE"/>
    <w:rsid w:val="00E2291C"/>
    <w:rsid w:val="00E3327A"/>
    <w:rsid w:val="00E33556"/>
    <w:rsid w:val="00E34B69"/>
    <w:rsid w:val="00E401A3"/>
    <w:rsid w:val="00E40CA9"/>
    <w:rsid w:val="00E428A0"/>
    <w:rsid w:val="00E430F9"/>
    <w:rsid w:val="00E455CA"/>
    <w:rsid w:val="00E55A87"/>
    <w:rsid w:val="00E61553"/>
    <w:rsid w:val="00E628D7"/>
    <w:rsid w:val="00E64322"/>
    <w:rsid w:val="00E64382"/>
    <w:rsid w:val="00E66556"/>
    <w:rsid w:val="00E70ABE"/>
    <w:rsid w:val="00E71387"/>
    <w:rsid w:val="00E716A9"/>
    <w:rsid w:val="00E724B7"/>
    <w:rsid w:val="00E726B3"/>
    <w:rsid w:val="00E72D3B"/>
    <w:rsid w:val="00E831D5"/>
    <w:rsid w:val="00E85FF9"/>
    <w:rsid w:val="00E86561"/>
    <w:rsid w:val="00E930B0"/>
    <w:rsid w:val="00E9625A"/>
    <w:rsid w:val="00E96448"/>
    <w:rsid w:val="00EA5446"/>
    <w:rsid w:val="00EA792B"/>
    <w:rsid w:val="00EB0A9F"/>
    <w:rsid w:val="00EB285A"/>
    <w:rsid w:val="00EB40C4"/>
    <w:rsid w:val="00EB7EB9"/>
    <w:rsid w:val="00EC26D6"/>
    <w:rsid w:val="00EC7470"/>
    <w:rsid w:val="00ED524D"/>
    <w:rsid w:val="00EE022C"/>
    <w:rsid w:val="00EE4412"/>
    <w:rsid w:val="00EE6441"/>
    <w:rsid w:val="00EF0132"/>
    <w:rsid w:val="00EF0418"/>
    <w:rsid w:val="00EF60D3"/>
    <w:rsid w:val="00EF78C3"/>
    <w:rsid w:val="00F02669"/>
    <w:rsid w:val="00F02885"/>
    <w:rsid w:val="00F02F74"/>
    <w:rsid w:val="00F03622"/>
    <w:rsid w:val="00F06A9B"/>
    <w:rsid w:val="00F07969"/>
    <w:rsid w:val="00F07BD3"/>
    <w:rsid w:val="00F11754"/>
    <w:rsid w:val="00F204BE"/>
    <w:rsid w:val="00F21257"/>
    <w:rsid w:val="00F220E4"/>
    <w:rsid w:val="00F23202"/>
    <w:rsid w:val="00F306DE"/>
    <w:rsid w:val="00F33FB6"/>
    <w:rsid w:val="00F35D80"/>
    <w:rsid w:val="00F361C7"/>
    <w:rsid w:val="00F366E4"/>
    <w:rsid w:val="00F37B83"/>
    <w:rsid w:val="00F430F2"/>
    <w:rsid w:val="00F4341C"/>
    <w:rsid w:val="00F43CA7"/>
    <w:rsid w:val="00F44968"/>
    <w:rsid w:val="00F45D94"/>
    <w:rsid w:val="00F509DC"/>
    <w:rsid w:val="00F53174"/>
    <w:rsid w:val="00F54C93"/>
    <w:rsid w:val="00F61B0E"/>
    <w:rsid w:val="00F665A3"/>
    <w:rsid w:val="00F6699E"/>
    <w:rsid w:val="00F704F3"/>
    <w:rsid w:val="00F70CE6"/>
    <w:rsid w:val="00F7224F"/>
    <w:rsid w:val="00F7263F"/>
    <w:rsid w:val="00F74030"/>
    <w:rsid w:val="00F74BC2"/>
    <w:rsid w:val="00F7558B"/>
    <w:rsid w:val="00F77878"/>
    <w:rsid w:val="00F85597"/>
    <w:rsid w:val="00F85A2A"/>
    <w:rsid w:val="00F91A35"/>
    <w:rsid w:val="00F93598"/>
    <w:rsid w:val="00F944AD"/>
    <w:rsid w:val="00F94A9E"/>
    <w:rsid w:val="00F96203"/>
    <w:rsid w:val="00FA43AF"/>
    <w:rsid w:val="00FA60C6"/>
    <w:rsid w:val="00FA629A"/>
    <w:rsid w:val="00FA632D"/>
    <w:rsid w:val="00FB0488"/>
    <w:rsid w:val="00FB1B32"/>
    <w:rsid w:val="00FB5779"/>
    <w:rsid w:val="00FB5F53"/>
    <w:rsid w:val="00FC34FF"/>
    <w:rsid w:val="00FC354B"/>
    <w:rsid w:val="00FC5B88"/>
    <w:rsid w:val="00FD0742"/>
    <w:rsid w:val="00FD173D"/>
    <w:rsid w:val="00FD3ED4"/>
    <w:rsid w:val="00FD4F81"/>
    <w:rsid w:val="00FE03E5"/>
    <w:rsid w:val="00FE5C76"/>
    <w:rsid w:val="00FE7128"/>
    <w:rsid w:val="00FF27CE"/>
    <w:rsid w:val="00FF305C"/>
    <w:rsid w:val="00FF63B1"/>
    <w:rsid w:val="00FF77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C9FC6"/>
  <w15:chartTrackingRefBased/>
  <w15:docId w15:val="{97961DE8-92F9-4892-BEA9-81D8F6DE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7B6"/>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link w:val="Ttulo1Car"/>
    <w:uiPriority w:val="9"/>
    <w:qFormat/>
    <w:rsid w:val="00966590"/>
    <w:pPr>
      <w:spacing w:before="100" w:beforeAutospacing="1" w:after="100" w:afterAutospacing="1"/>
      <w:outlineLvl w:val="0"/>
    </w:pPr>
    <w:rPr>
      <w:b/>
      <w:bCs/>
      <w:kern w:val="36"/>
      <w:sz w:val="48"/>
      <w:szCs w:val="48"/>
      <w:lang w:val="es-MX" w:eastAsia="es-MX"/>
    </w:rPr>
  </w:style>
  <w:style w:type="paragraph" w:styleId="Ttulo2">
    <w:name w:val="heading 2"/>
    <w:basedOn w:val="Normal"/>
    <w:next w:val="Normal"/>
    <w:link w:val="Ttulo2Car"/>
    <w:uiPriority w:val="9"/>
    <w:unhideWhenUsed/>
    <w:qFormat/>
    <w:rsid w:val="0096659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rPr>
  </w:style>
  <w:style w:type="paragraph" w:styleId="Ttulo3">
    <w:name w:val="heading 3"/>
    <w:basedOn w:val="Normal"/>
    <w:next w:val="Normal"/>
    <w:link w:val="Ttulo3Car"/>
    <w:uiPriority w:val="9"/>
    <w:unhideWhenUsed/>
    <w:qFormat/>
    <w:rsid w:val="00966590"/>
    <w:pPr>
      <w:keepNext/>
      <w:keepLines/>
      <w:spacing w:before="40" w:line="259" w:lineRule="auto"/>
      <w:outlineLvl w:val="2"/>
    </w:pPr>
    <w:rPr>
      <w:rFonts w:asciiTheme="majorHAnsi" w:eastAsiaTheme="majorEastAsia" w:hAnsiTheme="majorHAnsi" w:cstheme="majorBidi"/>
      <w:color w:val="1F4D78" w:themeColor="accent1" w:themeShade="7F"/>
      <w:lang w:val="es-MX"/>
    </w:rPr>
  </w:style>
  <w:style w:type="paragraph" w:styleId="Ttulo4">
    <w:name w:val="heading 4"/>
    <w:basedOn w:val="Normal"/>
    <w:next w:val="Normal"/>
    <w:link w:val="Ttulo4Car"/>
    <w:uiPriority w:val="9"/>
    <w:unhideWhenUsed/>
    <w:qFormat/>
    <w:rsid w:val="00966590"/>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6590"/>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96659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966590"/>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966590"/>
    <w:rPr>
      <w:rFonts w:asciiTheme="majorHAnsi" w:eastAsiaTheme="majorEastAsia" w:hAnsiTheme="majorHAnsi" w:cstheme="majorBidi"/>
      <w:i/>
      <w:iCs/>
      <w:color w:val="2E74B5" w:themeColor="accent1" w:themeShade="BF"/>
    </w:rPr>
  </w:style>
  <w:style w:type="character" w:styleId="Hipervnculo">
    <w:name w:val="Hyperlink"/>
    <w:basedOn w:val="Fuentedeprrafopredeter"/>
    <w:uiPriority w:val="99"/>
    <w:unhideWhenUsed/>
    <w:rsid w:val="00966590"/>
    <w:rPr>
      <w:color w:val="0563C1" w:themeColor="hyperlink"/>
      <w:u w:val="single"/>
    </w:rPr>
  </w:style>
  <w:style w:type="character" w:customStyle="1" w:styleId="title-text">
    <w:name w:val="title-text"/>
    <w:basedOn w:val="Fuentedeprrafopredeter"/>
    <w:rsid w:val="00966590"/>
  </w:style>
  <w:style w:type="character" w:customStyle="1" w:styleId="sr-only">
    <w:name w:val="sr-only"/>
    <w:basedOn w:val="Fuentedeprrafopredeter"/>
    <w:rsid w:val="00966590"/>
  </w:style>
  <w:style w:type="character" w:customStyle="1" w:styleId="text">
    <w:name w:val="text"/>
    <w:basedOn w:val="Fuentedeprrafopredeter"/>
    <w:rsid w:val="00966590"/>
  </w:style>
  <w:style w:type="character" w:customStyle="1" w:styleId="author-ref">
    <w:name w:val="author-ref"/>
    <w:basedOn w:val="Fuentedeprrafopredeter"/>
    <w:rsid w:val="00966590"/>
  </w:style>
  <w:style w:type="paragraph" w:styleId="NormalWeb">
    <w:name w:val="Normal (Web)"/>
    <w:basedOn w:val="Normal"/>
    <w:uiPriority w:val="99"/>
    <w:unhideWhenUsed/>
    <w:rsid w:val="00966590"/>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966590"/>
    <w:rPr>
      <w:color w:val="800080"/>
      <w:u w:val="single"/>
    </w:rPr>
  </w:style>
  <w:style w:type="character" w:customStyle="1" w:styleId="button-alternative-text">
    <w:name w:val="button-alternative-text"/>
    <w:basedOn w:val="Fuentedeprrafopredeter"/>
    <w:rsid w:val="00966590"/>
  </w:style>
  <w:style w:type="character" w:styleId="Textoennegrita">
    <w:name w:val="Strong"/>
    <w:basedOn w:val="Fuentedeprrafopredeter"/>
    <w:uiPriority w:val="22"/>
    <w:qFormat/>
    <w:rsid w:val="00966590"/>
    <w:rPr>
      <w:b/>
      <w:bCs/>
    </w:rPr>
  </w:style>
  <w:style w:type="character" w:customStyle="1" w:styleId="extra-detail-1">
    <w:name w:val="extra-detail-1"/>
    <w:basedOn w:val="Fuentedeprrafopredeter"/>
    <w:rsid w:val="00966590"/>
  </w:style>
  <w:style w:type="character" w:customStyle="1" w:styleId="extra-detail-2">
    <w:name w:val="extra-detail-2"/>
    <w:basedOn w:val="Fuentedeprrafopredeter"/>
    <w:rsid w:val="00966590"/>
  </w:style>
  <w:style w:type="character" w:customStyle="1" w:styleId="anchor-text">
    <w:name w:val="anchor-text"/>
    <w:basedOn w:val="Fuentedeprrafopredeter"/>
    <w:rsid w:val="00966590"/>
  </w:style>
  <w:style w:type="character" w:customStyle="1" w:styleId="label">
    <w:name w:val="label"/>
    <w:basedOn w:val="Fuentedeprrafopredeter"/>
    <w:rsid w:val="00966590"/>
  </w:style>
  <w:style w:type="character" w:customStyle="1" w:styleId="display">
    <w:name w:val="display"/>
    <w:basedOn w:val="Fuentedeprrafopredeter"/>
    <w:rsid w:val="00966590"/>
  </w:style>
  <w:style w:type="character" w:customStyle="1" w:styleId="math">
    <w:name w:val="math"/>
    <w:basedOn w:val="Fuentedeprrafopredeter"/>
    <w:rsid w:val="00966590"/>
  </w:style>
  <w:style w:type="character" w:customStyle="1" w:styleId="mathjaxpreview">
    <w:name w:val="mathjax_preview"/>
    <w:basedOn w:val="Fuentedeprrafopredeter"/>
    <w:rsid w:val="00966590"/>
  </w:style>
  <w:style w:type="character" w:customStyle="1" w:styleId="mathjaxsvg">
    <w:name w:val="mathjax_svg"/>
    <w:basedOn w:val="Fuentedeprrafopredeter"/>
    <w:rsid w:val="00966590"/>
  </w:style>
  <w:style w:type="character" w:customStyle="1" w:styleId="mjxassistivemathml">
    <w:name w:val="mjx_assistive_mathml"/>
    <w:basedOn w:val="Fuentedeprrafopredeter"/>
    <w:rsid w:val="00966590"/>
  </w:style>
  <w:style w:type="character" w:styleId="nfasis">
    <w:name w:val="Emphasis"/>
    <w:basedOn w:val="Fuentedeprrafopredeter"/>
    <w:uiPriority w:val="20"/>
    <w:qFormat/>
    <w:rsid w:val="00966590"/>
    <w:rPr>
      <w:i/>
      <w:iCs/>
    </w:rPr>
  </w:style>
  <w:style w:type="paragraph" w:customStyle="1" w:styleId="legend">
    <w:name w:val="legend"/>
    <w:basedOn w:val="Normal"/>
    <w:rsid w:val="00966590"/>
    <w:pPr>
      <w:spacing w:before="100" w:beforeAutospacing="1" w:after="100" w:afterAutospacing="1"/>
    </w:pPr>
    <w:rPr>
      <w:lang w:val="es-MX" w:eastAsia="es-MX"/>
    </w:rPr>
  </w:style>
  <w:style w:type="paragraph" w:customStyle="1" w:styleId="Default">
    <w:name w:val="Default"/>
    <w:link w:val="DefaultCar"/>
    <w:rsid w:val="00A84F62"/>
    <w:pPr>
      <w:autoSpaceDE w:val="0"/>
      <w:autoSpaceDN w:val="0"/>
      <w:adjustRightInd w:val="0"/>
      <w:spacing w:after="0" w:line="240" w:lineRule="auto"/>
    </w:pPr>
    <w:rPr>
      <w:rFonts w:ascii="Arial" w:hAnsi="Arial" w:cs="Arial"/>
      <w:color w:val="000000"/>
      <w:sz w:val="24"/>
      <w:szCs w:val="24"/>
    </w:rPr>
  </w:style>
  <w:style w:type="character" w:customStyle="1" w:styleId="DefaultCar">
    <w:name w:val="Default Car"/>
    <w:basedOn w:val="Fuentedeprrafopredeter"/>
    <w:link w:val="Default"/>
    <w:rsid w:val="002E478D"/>
    <w:rPr>
      <w:rFonts w:ascii="Arial" w:hAnsi="Arial" w:cs="Arial"/>
      <w:color w:val="000000"/>
      <w:sz w:val="24"/>
      <w:szCs w:val="24"/>
    </w:rPr>
  </w:style>
  <w:style w:type="paragraph" w:customStyle="1" w:styleId="FZ1">
    <w:name w:val="FZ1"/>
    <w:basedOn w:val="Default"/>
    <w:link w:val="FZ1Car"/>
    <w:qFormat/>
    <w:rsid w:val="002E478D"/>
    <w:pPr>
      <w:spacing w:line="360" w:lineRule="auto"/>
      <w:jc w:val="center"/>
    </w:pPr>
    <w:rPr>
      <w:b/>
      <w:bCs/>
    </w:rPr>
  </w:style>
  <w:style w:type="character" w:customStyle="1" w:styleId="FZ1Car">
    <w:name w:val="FZ1 Car"/>
    <w:basedOn w:val="DefaultCar"/>
    <w:link w:val="FZ1"/>
    <w:rsid w:val="002E478D"/>
    <w:rPr>
      <w:rFonts w:ascii="Arial" w:hAnsi="Arial" w:cs="Arial"/>
      <w:b/>
      <w:bCs/>
      <w:color w:val="000000"/>
      <w:sz w:val="24"/>
      <w:szCs w:val="24"/>
    </w:rPr>
  </w:style>
  <w:style w:type="paragraph" w:styleId="Piedepgina">
    <w:name w:val="footer"/>
    <w:basedOn w:val="Normal"/>
    <w:link w:val="PiedepginaCar"/>
    <w:uiPriority w:val="99"/>
    <w:unhideWhenUsed/>
    <w:qFormat/>
    <w:rsid w:val="002E478D"/>
    <w:pPr>
      <w:tabs>
        <w:tab w:val="center" w:pos="4419"/>
        <w:tab w:val="right" w:pos="8838"/>
      </w:tabs>
    </w:pPr>
    <w:rPr>
      <w:rFonts w:ascii="Arial" w:eastAsiaTheme="minorHAnsi" w:hAnsi="Arial" w:cs="Arial"/>
      <w:szCs w:val="16"/>
      <w:lang w:val="es-MX"/>
    </w:rPr>
  </w:style>
  <w:style w:type="character" w:customStyle="1" w:styleId="PiedepginaCar">
    <w:name w:val="Pie de página Car"/>
    <w:basedOn w:val="Fuentedeprrafopredeter"/>
    <w:link w:val="Piedepgina"/>
    <w:uiPriority w:val="99"/>
    <w:rsid w:val="002E478D"/>
    <w:rPr>
      <w:rFonts w:ascii="Arial" w:hAnsi="Arial" w:cs="Arial"/>
      <w:sz w:val="24"/>
      <w:szCs w:val="16"/>
    </w:rPr>
  </w:style>
  <w:style w:type="paragraph" w:styleId="Encabezado">
    <w:name w:val="header"/>
    <w:basedOn w:val="Normal"/>
    <w:link w:val="EncabezadoCar"/>
    <w:uiPriority w:val="99"/>
    <w:unhideWhenUsed/>
    <w:rsid w:val="002E478D"/>
    <w:pPr>
      <w:tabs>
        <w:tab w:val="center" w:pos="4419"/>
        <w:tab w:val="right" w:pos="8838"/>
      </w:tabs>
    </w:pPr>
    <w:rPr>
      <w:rFonts w:asciiTheme="minorHAnsi" w:eastAsiaTheme="minorHAnsi" w:hAnsiTheme="minorHAnsi" w:cstheme="minorBidi"/>
      <w:sz w:val="22"/>
      <w:szCs w:val="22"/>
      <w:lang w:val="es-MX"/>
    </w:rPr>
  </w:style>
  <w:style w:type="character" w:customStyle="1" w:styleId="EncabezadoCar">
    <w:name w:val="Encabezado Car"/>
    <w:basedOn w:val="Fuentedeprrafopredeter"/>
    <w:link w:val="Encabezado"/>
    <w:uiPriority w:val="99"/>
    <w:rsid w:val="002E478D"/>
  </w:style>
  <w:style w:type="paragraph" w:styleId="Prrafodelista">
    <w:name w:val="List Paragraph"/>
    <w:basedOn w:val="Normal"/>
    <w:uiPriority w:val="34"/>
    <w:qFormat/>
    <w:rsid w:val="00485D10"/>
    <w:pPr>
      <w:spacing w:line="480" w:lineRule="auto"/>
      <w:ind w:left="720" w:firstLine="709"/>
      <w:contextualSpacing/>
      <w:jc w:val="both"/>
    </w:pPr>
    <w:rPr>
      <w:rFonts w:ascii="Arial" w:eastAsiaTheme="minorHAnsi" w:hAnsi="Arial" w:cs="Arial"/>
      <w:szCs w:val="22"/>
      <w:lang w:val="es-MX"/>
    </w:rPr>
  </w:style>
  <w:style w:type="character" w:styleId="Refdecomentario">
    <w:name w:val="annotation reference"/>
    <w:basedOn w:val="Fuentedeprrafopredeter"/>
    <w:uiPriority w:val="99"/>
    <w:semiHidden/>
    <w:unhideWhenUsed/>
    <w:rsid w:val="0073664E"/>
    <w:rPr>
      <w:sz w:val="16"/>
      <w:szCs w:val="16"/>
    </w:rPr>
  </w:style>
  <w:style w:type="paragraph" w:styleId="Descripcin">
    <w:name w:val="caption"/>
    <w:basedOn w:val="Normal"/>
    <w:next w:val="Normal"/>
    <w:uiPriority w:val="35"/>
    <w:unhideWhenUsed/>
    <w:qFormat/>
    <w:rsid w:val="0073664E"/>
    <w:pPr>
      <w:ind w:firstLine="709"/>
      <w:jc w:val="both"/>
    </w:pPr>
    <w:rPr>
      <w:rFonts w:ascii="Arial" w:eastAsiaTheme="minorHAnsi" w:hAnsi="Arial" w:cstheme="minorBidi"/>
      <w:b/>
      <w:bCs/>
      <w:color w:val="5B9BD5" w:themeColor="accent1"/>
      <w:sz w:val="18"/>
      <w:szCs w:val="18"/>
      <w:lang w:val="es-MX"/>
    </w:rPr>
  </w:style>
  <w:style w:type="paragraph" w:styleId="Textoindependiente2">
    <w:name w:val="Body Text 2"/>
    <w:basedOn w:val="Normal"/>
    <w:link w:val="Textoindependiente2Car"/>
    <w:uiPriority w:val="99"/>
    <w:unhideWhenUsed/>
    <w:rsid w:val="006D79D8"/>
    <w:pPr>
      <w:spacing w:before="100" w:beforeAutospacing="1" w:after="100" w:afterAutospacing="1"/>
    </w:pPr>
    <w:rPr>
      <w:lang w:val="es-MX" w:eastAsia="es-MX"/>
    </w:rPr>
  </w:style>
  <w:style w:type="character" w:customStyle="1" w:styleId="Textoindependiente2Car">
    <w:name w:val="Texto independiente 2 Car"/>
    <w:basedOn w:val="Fuentedeprrafopredeter"/>
    <w:link w:val="Textoindependiente2"/>
    <w:uiPriority w:val="99"/>
    <w:rsid w:val="006D79D8"/>
    <w:rPr>
      <w:rFonts w:ascii="Times New Roman" w:eastAsia="Times New Roman" w:hAnsi="Times New Roman" w:cs="Times New Roman"/>
      <w:sz w:val="24"/>
      <w:szCs w:val="24"/>
      <w:lang w:eastAsia="es-MX"/>
    </w:rPr>
  </w:style>
  <w:style w:type="paragraph" w:styleId="Continuarlista2">
    <w:name w:val="List Continue 2"/>
    <w:basedOn w:val="Default"/>
    <w:next w:val="Default"/>
    <w:uiPriority w:val="99"/>
    <w:rsid w:val="00342D2F"/>
    <w:rPr>
      <w:rFonts w:ascii="Times New Roman" w:hAnsi="Times New Roman" w:cs="Times New Roman"/>
      <w:color w:val="auto"/>
    </w:rPr>
  </w:style>
  <w:style w:type="character" w:customStyle="1" w:styleId="TextodegloboCar">
    <w:name w:val="Texto de globo Car"/>
    <w:basedOn w:val="Fuentedeprrafopredeter"/>
    <w:link w:val="Textodeglobo"/>
    <w:uiPriority w:val="99"/>
    <w:semiHidden/>
    <w:rsid w:val="00342D2F"/>
    <w:rPr>
      <w:rFonts w:ascii="Tahoma" w:hAnsi="Tahoma" w:cs="Tahoma"/>
      <w:sz w:val="16"/>
      <w:szCs w:val="16"/>
    </w:rPr>
  </w:style>
  <w:style w:type="paragraph" w:styleId="Textodeglobo">
    <w:name w:val="Balloon Text"/>
    <w:basedOn w:val="Normal"/>
    <w:link w:val="TextodegloboCar"/>
    <w:uiPriority w:val="99"/>
    <w:semiHidden/>
    <w:unhideWhenUsed/>
    <w:rsid w:val="00342D2F"/>
    <w:rPr>
      <w:rFonts w:ascii="Tahoma" w:hAnsi="Tahoma" w:cs="Tahoma"/>
      <w:sz w:val="16"/>
      <w:szCs w:val="16"/>
    </w:rPr>
  </w:style>
  <w:style w:type="character" w:customStyle="1" w:styleId="mw1">
    <w:name w:val="mw1"/>
    <w:basedOn w:val="Fuentedeprrafopredeter"/>
    <w:rsid w:val="00342D2F"/>
    <w:rPr>
      <w:vanish w:val="0"/>
      <w:webHidden w:val="0"/>
      <w:specVanish w:val="0"/>
    </w:rPr>
  </w:style>
  <w:style w:type="paragraph" w:customStyle="1" w:styleId="Normal3">
    <w:name w:val="Normal+3"/>
    <w:basedOn w:val="Normal"/>
    <w:next w:val="Normal"/>
    <w:uiPriority w:val="99"/>
    <w:rsid w:val="00342D2F"/>
    <w:pPr>
      <w:autoSpaceDE w:val="0"/>
      <w:autoSpaceDN w:val="0"/>
      <w:adjustRightInd w:val="0"/>
    </w:pPr>
    <w:rPr>
      <w:rFonts w:ascii="Arial" w:eastAsia="Calibri" w:hAnsi="Arial" w:cs="Arial"/>
      <w:lang w:val="es-MX" w:eastAsia="es-MX"/>
    </w:rPr>
  </w:style>
  <w:style w:type="character" w:customStyle="1" w:styleId="publication-meta-date">
    <w:name w:val="publication-meta-date"/>
    <w:basedOn w:val="Fuentedeprrafopredeter"/>
    <w:rsid w:val="00342D2F"/>
  </w:style>
  <w:style w:type="paragraph" w:styleId="Textonotapie">
    <w:name w:val="footnote text"/>
    <w:basedOn w:val="Normal"/>
    <w:link w:val="TextonotapieCar"/>
    <w:semiHidden/>
    <w:rsid w:val="00DD27AC"/>
    <w:pPr>
      <w:autoSpaceDE w:val="0"/>
      <w:autoSpaceDN w:val="0"/>
      <w:jc w:val="both"/>
    </w:pPr>
    <w:rPr>
      <w:rFonts w:ascii="TradeGothic" w:hAnsi="TradeGothic"/>
      <w:sz w:val="20"/>
      <w:szCs w:val="20"/>
      <w:lang w:val="es-ES" w:eastAsia="es-ES"/>
    </w:rPr>
  </w:style>
  <w:style w:type="character" w:customStyle="1" w:styleId="TextonotapieCar">
    <w:name w:val="Texto nota pie Car"/>
    <w:basedOn w:val="Fuentedeprrafopredeter"/>
    <w:link w:val="Textonotapie"/>
    <w:semiHidden/>
    <w:rsid w:val="00DD27AC"/>
    <w:rPr>
      <w:rFonts w:ascii="TradeGothic" w:eastAsia="Times New Roman" w:hAnsi="TradeGothic" w:cs="Times New Roman"/>
      <w:sz w:val="20"/>
      <w:szCs w:val="20"/>
      <w:lang w:val="es-ES" w:eastAsia="es-ES"/>
    </w:rPr>
  </w:style>
  <w:style w:type="character" w:styleId="Refdenotaalpie">
    <w:name w:val="footnote reference"/>
    <w:basedOn w:val="Fuentedeprrafopredeter"/>
    <w:semiHidden/>
    <w:rsid w:val="00DD27AC"/>
    <w:rPr>
      <w:vertAlign w:val="superscript"/>
    </w:rPr>
  </w:style>
  <w:style w:type="paragraph" w:customStyle="1" w:styleId="Estilo1">
    <w:name w:val="Estilo 1"/>
    <w:basedOn w:val="Ttulo1"/>
    <w:link w:val="Estilo1Car"/>
    <w:qFormat/>
    <w:rsid w:val="000F0A07"/>
    <w:pPr>
      <w:spacing w:before="0" w:beforeAutospacing="0" w:after="0" w:afterAutospacing="0" w:line="480" w:lineRule="auto"/>
      <w:jc w:val="center"/>
    </w:pPr>
    <w:rPr>
      <w:rFonts w:ascii="Arial" w:hAnsi="Arial"/>
      <w:color w:val="000000"/>
      <w:sz w:val="24"/>
      <w:lang w:val="es-ES" w:eastAsia="es-ES"/>
    </w:rPr>
  </w:style>
  <w:style w:type="character" w:customStyle="1" w:styleId="Estilo1Car">
    <w:name w:val="Estilo 1 Car"/>
    <w:basedOn w:val="Ttulo1Car"/>
    <w:link w:val="Estilo1"/>
    <w:rsid w:val="000F0A07"/>
    <w:rPr>
      <w:rFonts w:ascii="Arial" w:eastAsia="Times New Roman" w:hAnsi="Arial" w:cs="Times New Roman"/>
      <w:b/>
      <w:bCs/>
      <w:color w:val="000000"/>
      <w:kern w:val="36"/>
      <w:sz w:val="24"/>
      <w:szCs w:val="48"/>
      <w:lang w:val="es-ES" w:eastAsia="es-ES"/>
    </w:rPr>
  </w:style>
  <w:style w:type="paragraph" w:customStyle="1" w:styleId="texto">
    <w:name w:val="texto"/>
    <w:basedOn w:val="Normal"/>
    <w:link w:val="textoCar"/>
    <w:autoRedefine/>
    <w:rsid w:val="00384CB6"/>
    <w:pPr>
      <w:spacing w:line="360" w:lineRule="auto"/>
      <w:ind w:left="1134" w:hanging="1134"/>
      <w:jc w:val="both"/>
    </w:pPr>
    <w:rPr>
      <w:rFonts w:ascii="Arial" w:eastAsia="Calibri" w:hAnsi="Arial" w:cs="Arial"/>
      <w:lang w:val="es-MX"/>
    </w:rPr>
  </w:style>
  <w:style w:type="character" w:customStyle="1" w:styleId="textoCar">
    <w:name w:val="texto Car"/>
    <w:basedOn w:val="Fuentedeprrafopredeter"/>
    <w:link w:val="texto"/>
    <w:rsid w:val="00384CB6"/>
    <w:rPr>
      <w:rFonts w:ascii="Arial" w:eastAsia="Calibri" w:hAnsi="Arial" w:cs="Arial"/>
      <w:sz w:val="24"/>
      <w:szCs w:val="24"/>
    </w:rPr>
  </w:style>
  <w:style w:type="paragraph" w:customStyle="1" w:styleId="Estilo2">
    <w:name w:val="Estilo2"/>
    <w:basedOn w:val="Normal"/>
    <w:link w:val="Estilo2Car"/>
    <w:qFormat/>
    <w:rsid w:val="001E6364"/>
    <w:pPr>
      <w:spacing w:line="480" w:lineRule="auto"/>
      <w:ind w:firstLine="708"/>
      <w:jc w:val="both"/>
    </w:pPr>
    <w:rPr>
      <w:rFonts w:ascii="Arial" w:eastAsia="Calibri" w:hAnsi="Arial" w:cs="Arial"/>
      <w:b/>
      <w:color w:val="000000"/>
      <w:lang w:val="es-ES"/>
    </w:rPr>
  </w:style>
  <w:style w:type="character" w:customStyle="1" w:styleId="Estilo2Car">
    <w:name w:val="Estilo2 Car"/>
    <w:basedOn w:val="Fuentedeprrafopredeter"/>
    <w:link w:val="Estilo2"/>
    <w:rsid w:val="001E6364"/>
    <w:rPr>
      <w:rFonts w:ascii="Arial" w:eastAsia="Calibri" w:hAnsi="Arial" w:cs="Arial"/>
      <w:b/>
      <w:color w:val="000000"/>
      <w:sz w:val="24"/>
      <w:szCs w:val="24"/>
      <w:lang w:val="es-ES"/>
    </w:rPr>
  </w:style>
  <w:style w:type="paragraph" w:customStyle="1" w:styleId="ConaguaParrafo">
    <w:name w:val="ConaguaParrafo"/>
    <w:basedOn w:val="Normal"/>
    <w:qFormat/>
    <w:rsid w:val="0056683E"/>
    <w:pPr>
      <w:keepNext/>
      <w:keepLines/>
      <w:spacing w:before="240" w:after="240"/>
      <w:jc w:val="both"/>
      <w:outlineLvl w:val="0"/>
    </w:pPr>
    <w:rPr>
      <w:rFonts w:ascii="Soberana Sans" w:eastAsiaTheme="majorEastAsia" w:hAnsi="Soberana Sans" w:cstheme="majorBidi"/>
      <w:bCs/>
      <w:sz w:val="22"/>
      <w:szCs w:val="28"/>
      <w:lang w:val="es-MX"/>
    </w:rPr>
  </w:style>
  <w:style w:type="paragraph" w:customStyle="1" w:styleId="ConaguaTabla">
    <w:name w:val="ConaguaTabla"/>
    <w:basedOn w:val="ConaguaParrafo"/>
    <w:qFormat/>
    <w:rsid w:val="0056683E"/>
    <w:pPr>
      <w:spacing w:before="0" w:after="0"/>
      <w:jc w:val="center"/>
    </w:pPr>
    <w:rPr>
      <w:sz w:val="18"/>
    </w:rPr>
  </w:style>
  <w:style w:type="character" w:customStyle="1" w:styleId="highlight">
    <w:name w:val="highlight"/>
    <w:basedOn w:val="Fuentedeprrafopredeter"/>
    <w:rsid w:val="00E64322"/>
  </w:style>
  <w:style w:type="character" w:customStyle="1" w:styleId="st">
    <w:name w:val="st"/>
    <w:basedOn w:val="Fuentedeprrafopredeter"/>
    <w:rsid w:val="007A4AB3"/>
  </w:style>
  <w:style w:type="paragraph" w:styleId="TDC2">
    <w:name w:val="toc 2"/>
    <w:basedOn w:val="Normal"/>
    <w:next w:val="Normal"/>
    <w:autoRedefine/>
    <w:uiPriority w:val="39"/>
    <w:unhideWhenUsed/>
    <w:rsid w:val="002A2B54"/>
    <w:pPr>
      <w:spacing w:after="100" w:line="259" w:lineRule="auto"/>
      <w:ind w:left="220"/>
    </w:pPr>
    <w:rPr>
      <w:rFonts w:asciiTheme="minorHAnsi" w:eastAsiaTheme="minorHAnsi" w:hAnsiTheme="minorHAnsi" w:cstheme="minorBidi"/>
      <w:sz w:val="22"/>
      <w:szCs w:val="22"/>
      <w:lang w:val="es-MX"/>
    </w:rPr>
  </w:style>
  <w:style w:type="paragraph" w:styleId="TDC1">
    <w:name w:val="toc 1"/>
    <w:basedOn w:val="Normal"/>
    <w:next w:val="Normal"/>
    <w:autoRedefine/>
    <w:uiPriority w:val="39"/>
    <w:unhideWhenUsed/>
    <w:rsid w:val="00834ED1"/>
    <w:pPr>
      <w:tabs>
        <w:tab w:val="right" w:leader="dot" w:pos="8947"/>
      </w:tabs>
      <w:spacing w:after="100" w:line="259" w:lineRule="auto"/>
    </w:pPr>
    <w:rPr>
      <w:rFonts w:asciiTheme="minorHAnsi" w:eastAsiaTheme="minorHAnsi" w:hAnsiTheme="minorHAnsi" w:cstheme="minorBidi"/>
      <w:sz w:val="22"/>
      <w:szCs w:val="22"/>
      <w:lang w:val="es-MX"/>
    </w:rPr>
  </w:style>
  <w:style w:type="table" w:styleId="Tablaconcuadrcula">
    <w:name w:val="Table Grid"/>
    <w:basedOn w:val="Tablanormal"/>
    <w:uiPriority w:val="59"/>
    <w:rsid w:val="00864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F03622"/>
    <w:rPr>
      <w:color w:val="605E5C"/>
      <w:shd w:val="clear" w:color="auto" w:fill="E1DFDD"/>
    </w:rPr>
  </w:style>
  <w:style w:type="character" w:customStyle="1" w:styleId="fontstyle01">
    <w:name w:val="fontstyle01"/>
    <w:basedOn w:val="Fuentedeprrafopredeter"/>
    <w:rsid w:val="005830C7"/>
    <w:rPr>
      <w:rFonts w:ascii="AGaramondPro-BoldItalic" w:hAnsi="AGaramondPro-BoldItalic" w:hint="default"/>
      <w:b/>
      <w:bCs/>
      <w:i/>
      <w:iCs/>
      <w:color w:val="242021"/>
      <w:sz w:val="18"/>
      <w:szCs w:val="18"/>
    </w:rPr>
  </w:style>
  <w:style w:type="character" w:customStyle="1" w:styleId="fontstyle21">
    <w:name w:val="fontstyle21"/>
    <w:basedOn w:val="Fuentedeprrafopredeter"/>
    <w:rsid w:val="005830C7"/>
    <w:rPr>
      <w:rFonts w:ascii="AGaramondPro-Bold" w:hAnsi="AGaramondPro-Bold" w:hint="default"/>
      <w:b/>
      <w:bCs/>
      <w:i w:val="0"/>
      <w:iCs w:val="0"/>
      <w:color w:val="242021"/>
      <w:sz w:val="18"/>
      <w:szCs w:val="18"/>
    </w:rPr>
  </w:style>
  <w:style w:type="character" w:customStyle="1" w:styleId="fontstyle31">
    <w:name w:val="fontstyle31"/>
    <w:basedOn w:val="Fuentedeprrafopredeter"/>
    <w:rsid w:val="00F35D80"/>
    <w:rPr>
      <w:rFonts w:ascii="HiddenHorzOCR-Identity-H" w:hAnsi="HiddenHorzOCR-Identity-H" w:hint="default"/>
      <w:b w:val="0"/>
      <w:bCs w:val="0"/>
      <w:i w:val="0"/>
      <w:iCs w:val="0"/>
      <w:color w:val="222222"/>
      <w:sz w:val="12"/>
      <w:szCs w:val="12"/>
    </w:rPr>
  </w:style>
  <w:style w:type="character" w:customStyle="1" w:styleId="UnresolvedMention2">
    <w:name w:val="Unresolved Mention2"/>
    <w:basedOn w:val="Fuentedeprrafopredeter"/>
    <w:uiPriority w:val="99"/>
    <w:semiHidden/>
    <w:unhideWhenUsed/>
    <w:rsid w:val="003B44F2"/>
    <w:rPr>
      <w:color w:val="605E5C"/>
      <w:shd w:val="clear" w:color="auto" w:fill="E1DFDD"/>
    </w:rPr>
  </w:style>
  <w:style w:type="paragraph" w:customStyle="1" w:styleId="TableHeader">
    <w:name w:val="* TableHeader"/>
    <w:link w:val="TableHeaderChar"/>
    <w:qFormat/>
    <w:rsid w:val="00E164E6"/>
    <w:pPr>
      <w:spacing w:after="0" w:line="240" w:lineRule="auto"/>
      <w:jc w:val="center"/>
    </w:pPr>
    <w:rPr>
      <w:rFonts w:ascii="Times New Roman" w:eastAsia="Times New Roman" w:hAnsi="Times New Roman" w:cs="Vrinda"/>
      <w:sz w:val="20"/>
      <w:szCs w:val="20"/>
      <w:lang w:val="en-US"/>
    </w:rPr>
  </w:style>
  <w:style w:type="character" w:customStyle="1" w:styleId="TableHeaderChar">
    <w:name w:val="* TableHeader Char"/>
    <w:link w:val="TableHeader"/>
    <w:rsid w:val="00E164E6"/>
    <w:rPr>
      <w:rFonts w:ascii="Times New Roman" w:eastAsia="Times New Roman" w:hAnsi="Times New Roman" w:cs="Vrinda"/>
      <w:sz w:val="20"/>
      <w:szCs w:val="20"/>
      <w:lang w:val="en-US"/>
    </w:rPr>
  </w:style>
  <w:style w:type="paragraph" w:customStyle="1" w:styleId="SourceLineforTablesFigures">
    <w:name w:val="SourceLineforTables&amp;Figures"/>
    <w:basedOn w:val="Normal"/>
    <w:link w:val="SourceLineforTablesFiguresChar"/>
    <w:autoRedefine/>
    <w:semiHidden/>
    <w:locked/>
    <w:rsid w:val="00E164E6"/>
    <w:pPr>
      <w:jc w:val="center"/>
    </w:pPr>
    <w:rPr>
      <w:rFonts w:cs="Vrinda"/>
      <w:i/>
      <w:sz w:val="16"/>
      <w:szCs w:val="20"/>
    </w:rPr>
  </w:style>
  <w:style w:type="character" w:customStyle="1" w:styleId="SourceLineforTablesFiguresChar">
    <w:name w:val="SourceLineforTables&amp;Figures Char"/>
    <w:link w:val="SourceLineforTablesFigures"/>
    <w:semiHidden/>
    <w:rsid w:val="00E164E6"/>
    <w:rPr>
      <w:rFonts w:ascii="Times New Roman" w:eastAsia="Times New Roman" w:hAnsi="Times New Roman" w:cs="Vrinda"/>
      <w:i/>
      <w:sz w:val="16"/>
      <w:szCs w:val="20"/>
      <w:lang w:val="en-US"/>
    </w:rPr>
  </w:style>
  <w:style w:type="paragraph" w:customStyle="1" w:styleId="FirstParaofSectionTextStyle">
    <w:name w:val="* FirstParaofSectionTextStyle"/>
    <w:next w:val="Normal"/>
    <w:link w:val="FirstParaofSectionTextStyleChar"/>
    <w:qFormat/>
    <w:rsid w:val="00F70CE6"/>
    <w:pPr>
      <w:spacing w:after="0" w:line="240" w:lineRule="auto"/>
      <w:jc w:val="both"/>
    </w:pPr>
    <w:rPr>
      <w:rFonts w:ascii="Times New Roman" w:eastAsia="Times New Roman" w:hAnsi="Times New Roman" w:cs="Vrinda"/>
      <w:sz w:val="20"/>
      <w:szCs w:val="20"/>
      <w:lang w:val="en-US"/>
    </w:rPr>
  </w:style>
  <w:style w:type="character" w:customStyle="1" w:styleId="FirstParaofSectionTextStyleChar">
    <w:name w:val="* FirstParaofSectionTextStyle Char"/>
    <w:link w:val="FirstParaofSectionTextStyle"/>
    <w:rsid w:val="00F70CE6"/>
    <w:rPr>
      <w:rFonts w:ascii="Times New Roman" w:eastAsia="Times New Roman" w:hAnsi="Times New Roman" w:cs="Vrinda"/>
      <w:sz w:val="20"/>
      <w:szCs w:val="20"/>
      <w:lang w:val="en-US"/>
    </w:rPr>
  </w:style>
  <w:style w:type="paragraph" w:customStyle="1" w:styleId="FirstParaOfSectionTextStyle0">
    <w:name w:val="FirstParaOfSectionTextStyle"/>
    <w:basedOn w:val="Normal"/>
    <w:link w:val="FirstParaOfSectionTextStyleChar0"/>
    <w:semiHidden/>
    <w:locked/>
    <w:rsid w:val="00F70CE6"/>
    <w:pPr>
      <w:spacing w:after="200"/>
      <w:jc w:val="both"/>
    </w:pPr>
    <w:rPr>
      <w:rFonts w:cs="Vrinda"/>
      <w:szCs w:val="20"/>
    </w:rPr>
  </w:style>
  <w:style w:type="character" w:customStyle="1" w:styleId="FirstParaOfSectionTextStyleChar0">
    <w:name w:val="FirstParaOfSectionTextStyle Char"/>
    <w:link w:val="FirstParaOfSectionTextStyle0"/>
    <w:semiHidden/>
    <w:rsid w:val="00F70CE6"/>
    <w:rPr>
      <w:rFonts w:ascii="Times New Roman" w:eastAsia="Times New Roman" w:hAnsi="Times New Roman" w:cs="Vrinda"/>
      <w:sz w:val="24"/>
      <w:szCs w:val="20"/>
      <w:lang w:val="en-US"/>
    </w:rPr>
  </w:style>
  <w:style w:type="paragraph" w:customStyle="1" w:styleId="ReferencesText">
    <w:name w:val="* ReferencesText"/>
    <w:link w:val="ReferencesTextChar"/>
    <w:qFormat/>
    <w:rsid w:val="003213B6"/>
    <w:pPr>
      <w:spacing w:after="0" w:line="240" w:lineRule="auto"/>
      <w:ind w:left="720" w:hanging="720"/>
      <w:jc w:val="both"/>
    </w:pPr>
    <w:rPr>
      <w:rFonts w:ascii="Times New Roman" w:eastAsia="Times New Roman" w:hAnsi="Times New Roman" w:cs="Vrinda"/>
      <w:sz w:val="20"/>
      <w:szCs w:val="24"/>
      <w:lang w:val="en-US"/>
    </w:rPr>
  </w:style>
  <w:style w:type="character" w:customStyle="1" w:styleId="ReferencesTextChar">
    <w:name w:val="* ReferencesText Char"/>
    <w:link w:val="ReferencesText"/>
    <w:rsid w:val="003213B6"/>
    <w:rPr>
      <w:rFonts w:ascii="Times New Roman" w:eastAsia="Times New Roman" w:hAnsi="Times New Roman" w:cs="Vrinda"/>
      <w:sz w:val="20"/>
      <w:szCs w:val="24"/>
      <w:lang w:val="en-US"/>
    </w:rPr>
  </w:style>
  <w:style w:type="character" w:styleId="Mencinsinresolver">
    <w:name w:val="Unresolved Mention"/>
    <w:basedOn w:val="Fuentedeprrafopredeter"/>
    <w:uiPriority w:val="99"/>
    <w:semiHidden/>
    <w:unhideWhenUsed/>
    <w:rsid w:val="003213B6"/>
    <w:rPr>
      <w:color w:val="605E5C"/>
      <w:shd w:val="clear" w:color="auto" w:fill="E1DFDD"/>
    </w:rPr>
  </w:style>
  <w:style w:type="paragraph" w:styleId="HTMLconformatoprevio">
    <w:name w:val="HTML Preformatted"/>
    <w:basedOn w:val="Normal"/>
    <w:link w:val="HTMLconformatoprevioCar"/>
    <w:uiPriority w:val="99"/>
    <w:unhideWhenUsed/>
    <w:rsid w:val="005B2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5B21A8"/>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8121">
      <w:bodyDiv w:val="1"/>
      <w:marLeft w:val="0"/>
      <w:marRight w:val="0"/>
      <w:marTop w:val="0"/>
      <w:marBottom w:val="0"/>
      <w:divBdr>
        <w:top w:val="none" w:sz="0" w:space="0" w:color="auto"/>
        <w:left w:val="none" w:sz="0" w:space="0" w:color="auto"/>
        <w:bottom w:val="none" w:sz="0" w:space="0" w:color="auto"/>
        <w:right w:val="none" w:sz="0" w:space="0" w:color="auto"/>
      </w:divBdr>
    </w:div>
    <w:div w:id="186261209">
      <w:bodyDiv w:val="1"/>
      <w:marLeft w:val="0"/>
      <w:marRight w:val="0"/>
      <w:marTop w:val="0"/>
      <w:marBottom w:val="0"/>
      <w:divBdr>
        <w:top w:val="none" w:sz="0" w:space="0" w:color="auto"/>
        <w:left w:val="none" w:sz="0" w:space="0" w:color="auto"/>
        <w:bottom w:val="none" w:sz="0" w:space="0" w:color="auto"/>
        <w:right w:val="none" w:sz="0" w:space="0" w:color="auto"/>
      </w:divBdr>
    </w:div>
    <w:div w:id="369234119">
      <w:bodyDiv w:val="1"/>
      <w:marLeft w:val="0"/>
      <w:marRight w:val="0"/>
      <w:marTop w:val="0"/>
      <w:marBottom w:val="0"/>
      <w:divBdr>
        <w:top w:val="none" w:sz="0" w:space="0" w:color="auto"/>
        <w:left w:val="none" w:sz="0" w:space="0" w:color="auto"/>
        <w:bottom w:val="none" w:sz="0" w:space="0" w:color="auto"/>
        <w:right w:val="none" w:sz="0" w:space="0" w:color="auto"/>
      </w:divBdr>
    </w:div>
    <w:div w:id="369845166">
      <w:bodyDiv w:val="1"/>
      <w:marLeft w:val="0"/>
      <w:marRight w:val="0"/>
      <w:marTop w:val="0"/>
      <w:marBottom w:val="0"/>
      <w:divBdr>
        <w:top w:val="none" w:sz="0" w:space="0" w:color="auto"/>
        <w:left w:val="none" w:sz="0" w:space="0" w:color="auto"/>
        <w:bottom w:val="none" w:sz="0" w:space="0" w:color="auto"/>
        <w:right w:val="none" w:sz="0" w:space="0" w:color="auto"/>
      </w:divBdr>
    </w:div>
    <w:div w:id="462234569">
      <w:bodyDiv w:val="1"/>
      <w:marLeft w:val="0"/>
      <w:marRight w:val="0"/>
      <w:marTop w:val="0"/>
      <w:marBottom w:val="0"/>
      <w:divBdr>
        <w:top w:val="none" w:sz="0" w:space="0" w:color="auto"/>
        <w:left w:val="none" w:sz="0" w:space="0" w:color="auto"/>
        <w:bottom w:val="none" w:sz="0" w:space="0" w:color="auto"/>
        <w:right w:val="none" w:sz="0" w:space="0" w:color="auto"/>
      </w:divBdr>
    </w:div>
    <w:div w:id="615720902">
      <w:bodyDiv w:val="1"/>
      <w:marLeft w:val="0"/>
      <w:marRight w:val="0"/>
      <w:marTop w:val="0"/>
      <w:marBottom w:val="0"/>
      <w:divBdr>
        <w:top w:val="none" w:sz="0" w:space="0" w:color="auto"/>
        <w:left w:val="none" w:sz="0" w:space="0" w:color="auto"/>
        <w:bottom w:val="none" w:sz="0" w:space="0" w:color="auto"/>
        <w:right w:val="none" w:sz="0" w:space="0" w:color="auto"/>
      </w:divBdr>
      <w:divsChild>
        <w:div w:id="180709104">
          <w:marLeft w:val="0"/>
          <w:marRight w:val="0"/>
          <w:marTop w:val="0"/>
          <w:marBottom w:val="120"/>
          <w:divBdr>
            <w:top w:val="none" w:sz="0" w:space="0" w:color="auto"/>
            <w:left w:val="none" w:sz="0" w:space="0" w:color="auto"/>
            <w:bottom w:val="none" w:sz="0" w:space="0" w:color="auto"/>
            <w:right w:val="none" w:sz="0" w:space="0" w:color="auto"/>
          </w:divBdr>
          <w:divsChild>
            <w:div w:id="1286230552">
              <w:marLeft w:val="0"/>
              <w:marRight w:val="0"/>
              <w:marTop w:val="0"/>
              <w:marBottom w:val="0"/>
              <w:divBdr>
                <w:top w:val="none" w:sz="0" w:space="0" w:color="auto"/>
                <w:left w:val="none" w:sz="0" w:space="0" w:color="auto"/>
                <w:bottom w:val="none" w:sz="0" w:space="0" w:color="auto"/>
                <w:right w:val="none" w:sz="0" w:space="0" w:color="auto"/>
              </w:divBdr>
              <w:divsChild>
                <w:div w:id="979766191">
                  <w:marLeft w:val="0"/>
                  <w:marRight w:val="0"/>
                  <w:marTop w:val="0"/>
                  <w:marBottom w:val="0"/>
                  <w:divBdr>
                    <w:top w:val="none" w:sz="0" w:space="0" w:color="auto"/>
                    <w:left w:val="none" w:sz="0" w:space="0" w:color="auto"/>
                    <w:bottom w:val="none" w:sz="0" w:space="0" w:color="auto"/>
                    <w:right w:val="none" w:sz="0" w:space="0" w:color="auto"/>
                  </w:divBdr>
                  <w:divsChild>
                    <w:div w:id="15991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372926">
      <w:bodyDiv w:val="1"/>
      <w:marLeft w:val="0"/>
      <w:marRight w:val="0"/>
      <w:marTop w:val="0"/>
      <w:marBottom w:val="0"/>
      <w:divBdr>
        <w:top w:val="none" w:sz="0" w:space="0" w:color="auto"/>
        <w:left w:val="none" w:sz="0" w:space="0" w:color="auto"/>
        <w:bottom w:val="none" w:sz="0" w:space="0" w:color="auto"/>
        <w:right w:val="none" w:sz="0" w:space="0" w:color="auto"/>
      </w:divBdr>
      <w:divsChild>
        <w:div w:id="275598771">
          <w:marLeft w:val="0"/>
          <w:marRight w:val="0"/>
          <w:marTop w:val="0"/>
          <w:marBottom w:val="0"/>
          <w:divBdr>
            <w:top w:val="none" w:sz="0" w:space="0" w:color="auto"/>
            <w:left w:val="none" w:sz="0" w:space="0" w:color="auto"/>
            <w:bottom w:val="none" w:sz="0" w:space="0" w:color="auto"/>
            <w:right w:val="none" w:sz="0" w:space="0" w:color="auto"/>
          </w:divBdr>
          <w:divsChild>
            <w:div w:id="1298099882">
              <w:marLeft w:val="0"/>
              <w:marRight w:val="0"/>
              <w:marTop w:val="0"/>
              <w:marBottom w:val="120"/>
              <w:divBdr>
                <w:top w:val="none" w:sz="0" w:space="0" w:color="auto"/>
                <w:left w:val="none" w:sz="0" w:space="0" w:color="auto"/>
                <w:bottom w:val="none" w:sz="0" w:space="0" w:color="auto"/>
                <w:right w:val="none" w:sz="0" w:space="0" w:color="auto"/>
              </w:divBdr>
              <w:divsChild>
                <w:div w:id="118289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3245">
          <w:marLeft w:val="0"/>
          <w:marRight w:val="0"/>
          <w:marTop w:val="0"/>
          <w:marBottom w:val="480"/>
          <w:divBdr>
            <w:top w:val="none" w:sz="0" w:space="0" w:color="auto"/>
            <w:left w:val="none" w:sz="0" w:space="0" w:color="auto"/>
            <w:bottom w:val="single" w:sz="12" w:space="24" w:color="EBEBEB"/>
            <w:right w:val="none" w:sz="0" w:space="0" w:color="auto"/>
          </w:divBdr>
          <w:divsChild>
            <w:div w:id="1150100567">
              <w:marLeft w:val="0"/>
              <w:marRight w:val="0"/>
              <w:marTop w:val="0"/>
              <w:marBottom w:val="0"/>
              <w:divBdr>
                <w:top w:val="none" w:sz="0" w:space="0" w:color="auto"/>
                <w:left w:val="none" w:sz="0" w:space="0" w:color="auto"/>
                <w:bottom w:val="none" w:sz="0" w:space="0" w:color="auto"/>
                <w:right w:val="none" w:sz="0" w:space="0" w:color="auto"/>
              </w:divBdr>
              <w:divsChild>
                <w:div w:id="1582567511">
                  <w:marLeft w:val="0"/>
                  <w:marRight w:val="0"/>
                  <w:marTop w:val="0"/>
                  <w:marBottom w:val="0"/>
                  <w:divBdr>
                    <w:top w:val="none" w:sz="0" w:space="0" w:color="auto"/>
                    <w:left w:val="none" w:sz="0" w:space="0" w:color="auto"/>
                    <w:bottom w:val="none" w:sz="0" w:space="0" w:color="auto"/>
                    <w:right w:val="none" w:sz="0" w:space="0" w:color="auto"/>
                  </w:divBdr>
                </w:div>
                <w:div w:id="2020425819">
                  <w:marLeft w:val="0"/>
                  <w:marRight w:val="0"/>
                  <w:marTop w:val="0"/>
                  <w:marBottom w:val="0"/>
                  <w:divBdr>
                    <w:top w:val="none" w:sz="0" w:space="0" w:color="auto"/>
                    <w:left w:val="none" w:sz="0" w:space="0" w:color="auto"/>
                    <w:bottom w:val="none" w:sz="0" w:space="0" w:color="auto"/>
                    <w:right w:val="none" w:sz="0" w:space="0" w:color="auto"/>
                  </w:divBdr>
                </w:div>
                <w:div w:id="142737958">
                  <w:marLeft w:val="0"/>
                  <w:marRight w:val="0"/>
                  <w:marTop w:val="0"/>
                  <w:marBottom w:val="0"/>
                  <w:divBdr>
                    <w:top w:val="none" w:sz="0" w:space="0" w:color="auto"/>
                    <w:left w:val="none" w:sz="0" w:space="0" w:color="auto"/>
                    <w:bottom w:val="none" w:sz="0" w:space="0" w:color="auto"/>
                    <w:right w:val="none" w:sz="0" w:space="0" w:color="auto"/>
                  </w:divBdr>
                </w:div>
                <w:div w:id="1837186885">
                  <w:marLeft w:val="0"/>
                  <w:marRight w:val="0"/>
                  <w:marTop w:val="0"/>
                  <w:marBottom w:val="0"/>
                  <w:divBdr>
                    <w:top w:val="none" w:sz="0" w:space="0" w:color="auto"/>
                    <w:left w:val="none" w:sz="0" w:space="0" w:color="auto"/>
                    <w:bottom w:val="none" w:sz="0" w:space="0" w:color="auto"/>
                    <w:right w:val="none" w:sz="0" w:space="0" w:color="auto"/>
                  </w:divBdr>
                </w:div>
                <w:div w:id="1509711642">
                  <w:marLeft w:val="0"/>
                  <w:marRight w:val="0"/>
                  <w:marTop w:val="0"/>
                  <w:marBottom w:val="0"/>
                  <w:divBdr>
                    <w:top w:val="none" w:sz="0" w:space="0" w:color="auto"/>
                    <w:left w:val="none" w:sz="0" w:space="0" w:color="auto"/>
                    <w:bottom w:val="none" w:sz="0" w:space="0" w:color="auto"/>
                    <w:right w:val="none" w:sz="0" w:space="0" w:color="auto"/>
                  </w:divBdr>
                </w:div>
                <w:div w:id="4225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0731">
          <w:marLeft w:val="0"/>
          <w:marRight w:val="0"/>
          <w:marTop w:val="0"/>
          <w:marBottom w:val="0"/>
          <w:divBdr>
            <w:top w:val="none" w:sz="0" w:space="0" w:color="auto"/>
            <w:left w:val="none" w:sz="0" w:space="0" w:color="auto"/>
            <w:bottom w:val="none" w:sz="0" w:space="0" w:color="auto"/>
            <w:right w:val="none" w:sz="0" w:space="0" w:color="auto"/>
          </w:divBdr>
          <w:divsChild>
            <w:div w:id="1354723910">
              <w:marLeft w:val="0"/>
              <w:marRight w:val="0"/>
              <w:marTop w:val="0"/>
              <w:marBottom w:val="0"/>
              <w:divBdr>
                <w:top w:val="none" w:sz="0" w:space="0" w:color="auto"/>
                <w:left w:val="none" w:sz="0" w:space="0" w:color="auto"/>
                <w:bottom w:val="none" w:sz="0" w:space="0" w:color="auto"/>
                <w:right w:val="none" w:sz="0" w:space="0" w:color="auto"/>
              </w:divBdr>
              <w:divsChild>
                <w:div w:id="2104379396">
                  <w:marLeft w:val="0"/>
                  <w:marRight w:val="0"/>
                  <w:marTop w:val="0"/>
                  <w:marBottom w:val="0"/>
                  <w:divBdr>
                    <w:top w:val="none" w:sz="0" w:space="0" w:color="auto"/>
                    <w:left w:val="none" w:sz="0" w:space="0" w:color="auto"/>
                    <w:bottom w:val="none" w:sz="0" w:space="0" w:color="auto"/>
                    <w:right w:val="none" w:sz="0" w:space="0" w:color="auto"/>
                  </w:divBdr>
                  <w:divsChild>
                    <w:div w:id="242032232">
                      <w:marLeft w:val="360"/>
                      <w:marRight w:val="360"/>
                      <w:marTop w:val="0"/>
                      <w:marBottom w:val="300"/>
                      <w:divBdr>
                        <w:top w:val="none" w:sz="0" w:space="0" w:color="auto"/>
                        <w:left w:val="none" w:sz="0" w:space="0" w:color="auto"/>
                        <w:bottom w:val="none" w:sz="0" w:space="0" w:color="auto"/>
                        <w:right w:val="none" w:sz="0" w:space="0" w:color="auto"/>
                      </w:divBdr>
                    </w:div>
                  </w:divsChild>
                </w:div>
                <w:div w:id="587157397">
                  <w:marLeft w:val="0"/>
                  <w:marRight w:val="0"/>
                  <w:marTop w:val="0"/>
                  <w:marBottom w:val="0"/>
                  <w:divBdr>
                    <w:top w:val="none" w:sz="0" w:space="0" w:color="auto"/>
                    <w:left w:val="none" w:sz="0" w:space="0" w:color="auto"/>
                    <w:bottom w:val="none" w:sz="0" w:space="0" w:color="auto"/>
                    <w:right w:val="none" w:sz="0" w:space="0" w:color="auto"/>
                  </w:divBdr>
                  <w:divsChild>
                    <w:div w:id="656304203">
                      <w:marLeft w:val="0"/>
                      <w:marRight w:val="0"/>
                      <w:marTop w:val="240"/>
                      <w:marBottom w:val="240"/>
                      <w:divBdr>
                        <w:top w:val="single" w:sz="12" w:space="0" w:color="EBEBEB"/>
                        <w:left w:val="none" w:sz="0" w:space="0" w:color="auto"/>
                        <w:bottom w:val="single" w:sz="12" w:space="0" w:color="EBEBEB"/>
                        <w:right w:val="none" w:sz="0" w:space="0" w:color="auto"/>
                      </w:divBdr>
                      <w:divsChild>
                        <w:div w:id="1726219209">
                          <w:marLeft w:val="360"/>
                          <w:marRight w:val="360"/>
                          <w:marTop w:val="0"/>
                          <w:marBottom w:val="300"/>
                          <w:divBdr>
                            <w:top w:val="none" w:sz="0" w:space="0" w:color="auto"/>
                            <w:left w:val="none" w:sz="0" w:space="0" w:color="auto"/>
                            <w:bottom w:val="none" w:sz="0" w:space="0" w:color="auto"/>
                            <w:right w:val="none" w:sz="0" w:space="0" w:color="auto"/>
                          </w:divBdr>
                        </w:div>
                        <w:div w:id="97545521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34546255">
                  <w:marLeft w:val="0"/>
                  <w:marRight w:val="0"/>
                  <w:marTop w:val="0"/>
                  <w:marBottom w:val="0"/>
                  <w:divBdr>
                    <w:top w:val="none" w:sz="0" w:space="0" w:color="auto"/>
                    <w:left w:val="none" w:sz="0" w:space="0" w:color="auto"/>
                    <w:bottom w:val="none" w:sz="0" w:space="0" w:color="auto"/>
                    <w:right w:val="none" w:sz="0" w:space="0" w:color="auto"/>
                  </w:divBdr>
                  <w:divsChild>
                    <w:div w:id="25952892">
                      <w:marLeft w:val="360"/>
                      <w:marRight w:val="360"/>
                      <w:marTop w:val="0"/>
                      <w:marBottom w:val="300"/>
                      <w:divBdr>
                        <w:top w:val="none" w:sz="0" w:space="0" w:color="auto"/>
                        <w:left w:val="none" w:sz="0" w:space="0" w:color="auto"/>
                        <w:bottom w:val="none" w:sz="0" w:space="0" w:color="auto"/>
                        <w:right w:val="none" w:sz="0" w:space="0" w:color="auto"/>
                      </w:divBdr>
                    </w:div>
                  </w:divsChild>
                </w:div>
                <w:div w:id="863136790">
                  <w:marLeft w:val="0"/>
                  <w:marRight w:val="0"/>
                  <w:marTop w:val="0"/>
                  <w:marBottom w:val="0"/>
                  <w:divBdr>
                    <w:top w:val="none" w:sz="0" w:space="0" w:color="auto"/>
                    <w:left w:val="none" w:sz="0" w:space="0" w:color="auto"/>
                    <w:bottom w:val="none" w:sz="0" w:space="0" w:color="auto"/>
                    <w:right w:val="none" w:sz="0" w:space="0" w:color="auto"/>
                  </w:divBdr>
                  <w:divsChild>
                    <w:div w:id="2065328877">
                      <w:marLeft w:val="360"/>
                      <w:marRight w:val="360"/>
                      <w:marTop w:val="0"/>
                      <w:marBottom w:val="300"/>
                      <w:divBdr>
                        <w:top w:val="none" w:sz="0" w:space="0" w:color="auto"/>
                        <w:left w:val="none" w:sz="0" w:space="0" w:color="auto"/>
                        <w:bottom w:val="none" w:sz="0" w:space="0" w:color="auto"/>
                        <w:right w:val="none" w:sz="0" w:space="0" w:color="auto"/>
                      </w:divBdr>
                    </w:div>
                  </w:divsChild>
                </w:div>
                <w:div w:id="1202478565">
                  <w:marLeft w:val="0"/>
                  <w:marRight w:val="0"/>
                  <w:marTop w:val="0"/>
                  <w:marBottom w:val="0"/>
                  <w:divBdr>
                    <w:top w:val="none" w:sz="0" w:space="0" w:color="auto"/>
                    <w:left w:val="none" w:sz="0" w:space="0" w:color="auto"/>
                    <w:bottom w:val="none" w:sz="0" w:space="0" w:color="auto"/>
                    <w:right w:val="none" w:sz="0" w:space="0" w:color="auto"/>
                  </w:divBdr>
                  <w:divsChild>
                    <w:div w:id="1744450926">
                      <w:marLeft w:val="0"/>
                      <w:marRight w:val="0"/>
                      <w:marTop w:val="240"/>
                      <w:marBottom w:val="240"/>
                      <w:divBdr>
                        <w:top w:val="single" w:sz="12" w:space="0" w:color="EBEBEB"/>
                        <w:left w:val="none" w:sz="0" w:space="0" w:color="auto"/>
                        <w:bottom w:val="single" w:sz="12" w:space="0" w:color="EBEBEB"/>
                        <w:right w:val="none" w:sz="0" w:space="0" w:color="auto"/>
                      </w:divBdr>
                      <w:divsChild>
                        <w:div w:id="1027831470">
                          <w:marLeft w:val="360"/>
                          <w:marRight w:val="360"/>
                          <w:marTop w:val="0"/>
                          <w:marBottom w:val="300"/>
                          <w:divBdr>
                            <w:top w:val="none" w:sz="0" w:space="0" w:color="auto"/>
                            <w:left w:val="none" w:sz="0" w:space="0" w:color="auto"/>
                            <w:bottom w:val="none" w:sz="0" w:space="0" w:color="auto"/>
                            <w:right w:val="none" w:sz="0" w:space="0" w:color="auto"/>
                          </w:divBdr>
                        </w:div>
                        <w:div w:id="18999789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7288488">
                  <w:marLeft w:val="0"/>
                  <w:marRight w:val="0"/>
                  <w:marTop w:val="0"/>
                  <w:marBottom w:val="0"/>
                  <w:divBdr>
                    <w:top w:val="none" w:sz="0" w:space="0" w:color="auto"/>
                    <w:left w:val="none" w:sz="0" w:space="0" w:color="auto"/>
                    <w:bottom w:val="none" w:sz="0" w:space="0" w:color="auto"/>
                    <w:right w:val="none" w:sz="0" w:space="0" w:color="auto"/>
                  </w:divBdr>
                  <w:divsChild>
                    <w:div w:id="811941304">
                      <w:marLeft w:val="0"/>
                      <w:marRight w:val="0"/>
                      <w:marTop w:val="0"/>
                      <w:marBottom w:val="0"/>
                      <w:divBdr>
                        <w:top w:val="none" w:sz="0" w:space="0" w:color="auto"/>
                        <w:left w:val="none" w:sz="0" w:space="0" w:color="auto"/>
                        <w:bottom w:val="none" w:sz="0" w:space="0" w:color="auto"/>
                        <w:right w:val="none" w:sz="0" w:space="0" w:color="auto"/>
                      </w:divBdr>
                      <w:divsChild>
                        <w:div w:id="880677993">
                          <w:marLeft w:val="0"/>
                          <w:marRight w:val="0"/>
                          <w:marTop w:val="240"/>
                          <w:marBottom w:val="240"/>
                          <w:divBdr>
                            <w:top w:val="none" w:sz="0" w:space="0" w:color="auto"/>
                            <w:left w:val="none" w:sz="0" w:space="0" w:color="auto"/>
                            <w:bottom w:val="none" w:sz="0" w:space="0" w:color="auto"/>
                            <w:right w:val="none" w:sz="0" w:space="0" w:color="auto"/>
                          </w:divBdr>
                        </w:div>
                        <w:div w:id="1395812100">
                          <w:marLeft w:val="0"/>
                          <w:marRight w:val="0"/>
                          <w:marTop w:val="240"/>
                          <w:marBottom w:val="240"/>
                          <w:divBdr>
                            <w:top w:val="single" w:sz="12" w:space="0" w:color="EBEBEB"/>
                            <w:left w:val="none" w:sz="0" w:space="0" w:color="auto"/>
                            <w:bottom w:val="single" w:sz="12" w:space="0" w:color="EBEBEB"/>
                            <w:right w:val="none" w:sz="0" w:space="0" w:color="auto"/>
                          </w:divBdr>
                          <w:divsChild>
                            <w:div w:id="2077973258">
                              <w:marLeft w:val="360"/>
                              <w:marRight w:val="360"/>
                              <w:marTop w:val="0"/>
                              <w:marBottom w:val="300"/>
                              <w:divBdr>
                                <w:top w:val="none" w:sz="0" w:space="0" w:color="auto"/>
                                <w:left w:val="none" w:sz="0" w:space="0" w:color="auto"/>
                                <w:bottom w:val="none" w:sz="0" w:space="0" w:color="auto"/>
                                <w:right w:val="none" w:sz="0" w:space="0" w:color="auto"/>
                              </w:divBdr>
                            </w:div>
                            <w:div w:id="4008290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58489043">
                      <w:marLeft w:val="0"/>
                      <w:marRight w:val="0"/>
                      <w:marTop w:val="240"/>
                      <w:marBottom w:val="240"/>
                      <w:divBdr>
                        <w:top w:val="none" w:sz="0" w:space="0" w:color="auto"/>
                        <w:left w:val="none" w:sz="0" w:space="0" w:color="auto"/>
                        <w:bottom w:val="none" w:sz="0" w:space="0" w:color="auto"/>
                        <w:right w:val="none" w:sz="0" w:space="0" w:color="auto"/>
                      </w:divBdr>
                    </w:div>
                    <w:div w:id="1360275842">
                      <w:marLeft w:val="360"/>
                      <w:marRight w:val="360"/>
                      <w:marTop w:val="0"/>
                      <w:marBottom w:val="300"/>
                      <w:divBdr>
                        <w:top w:val="none" w:sz="0" w:space="0" w:color="auto"/>
                        <w:left w:val="none" w:sz="0" w:space="0" w:color="auto"/>
                        <w:bottom w:val="none" w:sz="0" w:space="0" w:color="auto"/>
                        <w:right w:val="none" w:sz="0" w:space="0" w:color="auto"/>
                      </w:divBdr>
                    </w:div>
                  </w:divsChild>
                </w:div>
                <w:div w:id="846822809">
                  <w:marLeft w:val="0"/>
                  <w:marRight w:val="0"/>
                  <w:marTop w:val="240"/>
                  <w:marBottom w:val="240"/>
                  <w:divBdr>
                    <w:top w:val="none" w:sz="0" w:space="0" w:color="auto"/>
                    <w:left w:val="none" w:sz="0" w:space="0" w:color="auto"/>
                    <w:bottom w:val="none" w:sz="0" w:space="0" w:color="auto"/>
                    <w:right w:val="none" w:sz="0" w:space="0" w:color="auto"/>
                  </w:divBdr>
                </w:div>
                <w:div w:id="1945532190">
                  <w:marLeft w:val="0"/>
                  <w:marRight w:val="0"/>
                  <w:marTop w:val="240"/>
                  <w:marBottom w:val="240"/>
                  <w:divBdr>
                    <w:top w:val="none" w:sz="0" w:space="0" w:color="auto"/>
                    <w:left w:val="none" w:sz="0" w:space="0" w:color="auto"/>
                    <w:bottom w:val="none" w:sz="0" w:space="0" w:color="auto"/>
                    <w:right w:val="none" w:sz="0" w:space="0" w:color="auto"/>
                  </w:divBdr>
                </w:div>
                <w:div w:id="989092906">
                  <w:marLeft w:val="0"/>
                  <w:marRight w:val="0"/>
                  <w:marTop w:val="0"/>
                  <w:marBottom w:val="0"/>
                  <w:divBdr>
                    <w:top w:val="none" w:sz="0" w:space="0" w:color="auto"/>
                    <w:left w:val="none" w:sz="0" w:space="0" w:color="auto"/>
                    <w:bottom w:val="none" w:sz="0" w:space="0" w:color="auto"/>
                    <w:right w:val="none" w:sz="0" w:space="0" w:color="auto"/>
                  </w:divBdr>
                  <w:divsChild>
                    <w:div w:id="1672176351">
                      <w:marLeft w:val="0"/>
                      <w:marRight w:val="0"/>
                      <w:marTop w:val="240"/>
                      <w:marBottom w:val="240"/>
                      <w:divBdr>
                        <w:top w:val="single" w:sz="12" w:space="0" w:color="EBEBEB"/>
                        <w:left w:val="none" w:sz="0" w:space="0" w:color="auto"/>
                        <w:bottom w:val="single" w:sz="12" w:space="0" w:color="EBEBEB"/>
                        <w:right w:val="none" w:sz="0" w:space="0" w:color="auto"/>
                      </w:divBdr>
                      <w:divsChild>
                        <w:div w:id="2013332074">
                          <w:marLeft w:val="360"/>
                          <w:marRight w:val="360"/>
                          <w:marTop w:val="0"/>
                          <w:marBottom w:val="300"/>
                          <w:divBdr>
                            <w:top w:val="none" w:sz="0" w:space="0" w:color="auto"/>
                            <w:left w:val="none" w:sz="0" w:space="0" w:color="auto"/>
                            <w:bottom w:val="none" w:sz="0" w:space="0" w:color="auto"/>
                            <w:right w:val="none" w:sz="0" w:space="0" w:color="auto"/>
                          </w:divBdr>
                        </w:div>
                        <w:div w:id="14905551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48451955">
                  <w:marLeft w:val="0"/>
                  <w:marRight w:val="0"/>
                  <w:marTop w:val="0"/>
                  <w:marBottom w:val="0"/>
                  <w:divBdr>
                    <w:top w:val="none" w:sz="0" w:space="0" w:color="auto"/>
                    <w:left w:val="none" w:sz="0" w:space="0" w:color="auto"/>
                    <w:bottom w:val="none" w:sz="0" w:space="0" w:color="auto"/>
                    <w:right w:val="none" w:sz="0" w:space="0" w:color="auto"/>
                  </w:divBdr>
                  <w:divsChild>
                    <w:div w:id="8652190">
                      <w:marLeft w:val="0"/>
                      <w:marRight w:val="0"/>
                      <w:marTop w:val="240"/>
                      <w:marBottom w:val="240"/>
                      <w:divBdr>
                        <w:top w:val="single" w:sz="12" w:space="0" w:color="EBEBEB"/>
                        <w:left w:val="none" w:sz="0" w:space="0" w:color="auto"/>
                        <w:bottom w:val="single" w:sz="12" w:space="0" w:color="EBEBEB"/>
                        <w:right w:val="none" w:sz="0" w:space="0" w:color="auto"/>
                      </w:divBdr>
                      <w:divsChild>
                        <w:div w:id="1374502066">
                          <w:marLeft w:val="360"/>
                          <w:marRight w:val="360"/>
                          <w:marTop w:val="0"/>
                          <w:marBottom w:val="300"/>
                          <w:divBdr>
                            <w:top w:val="none" w:sz="0" w:space="0" w:color="auto"/>
                            <w:left w:val="none" w:sz="0" w:space="0" w:color="auto"/>
                            <w:bottom w:val="none" w:sz="0" w:space="0" w:color="auto"/>
                            <w:right w:val="none" w:sz="0" w:space="0" w:color="auto"/>
                          </w:divBdr>
                        </w:div>
                        <w:div w:id="51466039">
                          <w:marLeft w:val="0"/>
                          <w:marRight w:val="0"/>
                          <w:marTop w:val="240"/>
                          <w:marBottom w:val="240"/>
                          <w:divBdr>
                            <w:top w:val="none" w:sz="0" w:space="0" w:color="auto"/>
                            <w:left w:val="none" w:sz="0" w:space="0" w:color="auto"/>
                            <w:bottom w:val="none" w:sz="0" w:space="0" w:color="auto"/>
                            <w:right w:val="none" w:sz="0" w:space="0" w:color="auto"/>
                          </w:divBdr>
                        </w:div>
                      </w:divsChild>
                    </w:div>
                    <w:div w:id="827020176">
                      <w:marLeft w:val="360"/>
                      <w:marRight w:val="360"/>
                      <w:marTop w:val="0"/>
                      <w:marBottom w:val="300"/>
                      <w:divBdr>
                        <w:top w:val="none" w:sz="0" w:space="0" w:color="auto"/>
                        <w:left w:val="none" w:sz="0" w:space="0" w:color="auto"/>
                        <w:bottom w:val="none" w:sz="0" w:space="0" w:color="auto"/>
                        <w:right w:val="none" w:sz="0" w:space="0" w:color="auto"/>
                      </w:divBdr>
                    </w:div>
                  </w:divsChild>
                </w:div>
                <w:div w:id="17200941">
                  <w:marLeft w:val="0"/>
                  <w:marRight w:val="0"/>
                  <w:marTop w:val="0"/>
                  <w:marBottom w:val="0"/>
                  <w:divBdr>
                    <w:top w:val="none" w:sz="0" w:space="0" w:color="auto"/>
                    <w:left w:val="none" w:sz="0" w:space="0" w:color="auto"/>
                    <w:bottom w:val="none" w:sz="0" w:space="0" w:color="auto"/>
                    <w:right w:val="none" w:sz="0" w:space="0" w:color="auto"/>
                  </w:divBdr>
                  <w:divsChild>
                    <w:div w:id="465315639">
                      <w:marLeft w:val="360"/>
                      <w:marRight w:val="360"/>
                      <w:marTop w:val="0"/>
                      <w:marBottom w:val="300"/>
                      <w:divBdr>
                        <w:top w:val="none" w:sz="0" w:space="0" w:color="auto"/>
                        <w:left w:val="none" w:sz="0" w:space="0" w:color="auto"/>
                        <w:bottom w:val="none" w:sz="0" w:space="0" w:color="auto"/>
                        <w:right w:val="none" w:sz="0" w:space="0" w:color="auto"/>
                      </w:divBdr>
                    </w:div>
                  </w:divsChild>
                </w:div>
                <w:div w:id="1285889041">
                  <w:marLeft w:val="0"/>
                  <w:marRight w:val="0"/>
                  <w:marTop w:val="0"/>
                  <w:marBottom w:val="0"/>
                  <w:divBdr>
                    <w:top w:val="none" w:sz="0" w:space="0" w:color="auto"/>
                    <w:left w:val="none" w:sz="0" w:space="0" w:color="auto"/>
                    <w:bottom w:val="none" w:sz="0" w:space="0" w:color="auto"/>
                    <w:right w:val="none" w:sz="0" w:space="0" w:color="auto"/>
                  </w:divBdr>
                  <w:divsChild>
                    <w:div w:id="1865049057">
                      <w:marLeft w:val="360"/>
                      <w:marRight w:val="360"/>
                      <w:marTop w:val="0"/>
                      <w:marBottom w:val="300"/>
                      <w:divBdr>
                        <w:top w:val="none" w:sz="0" w:space="0" w:color="auto"/>
                        <w:left w:val="none" w:sz="0" w:space="0" w:color="auto"/>
                        <w:bottom w:val="none" w:sz="0" w:space="0" w:color="auto"/>
                        <w:right w:val="none" w:sz="0" w:space="0" w:color="auto"/>
                      </w:divBdr>
                    </w:div>
                    <w:div w:id="895355785">
                      <w:marLeft w:val="0"/>
                      <w:marRight w:val="0"/>
                      <w:marTop w:val="240"/>
                      <w:marBottom w:val="240"/>
                      <w:divBdr>
                        <w:top w:val="single" w:sz="12" w:space="0" w:color="EBEBEB"/>
                        <w:left w:val="none" w:sz="0" w:space="0" w:color="auto"/>
                        <w:bottom w:val="single" w:sz="12" w:space="0" w:color="EBEBEB"/>
                        <w:right w:val="none" w:sz="0" w:space="0" w:color="auto"/>
                      </w:divBdr>
                      <w:divsChild>
                        <w:div w:id="1622608739">
                          <w:marLeft w:val="360"/>
                          <w:marRight w:val="360"/>
                          <w:marTop w:val="0"/>
                          <w:marBottom w:val="300"/>
                          <w:divBdr>
                            <w:top w:val="none" w:sz="0" w:space="0" w:color="auto"/>
                            <w:left w:val="none" w:sz="0" w:space="0" w:color="auto"/>
                            <w:bottom w:val="none" w:sz="0" w:space="0" w:color="auto"/>
                            <w:right w:val="none" w:sz="0" w:space="0" w:color="auto"/>
                          </w:divBdr>
                        </w:div>
                        <w:div w:id="996610738">
                          <w:marLeft w:val="0"/>
                          <w:marRight w:val="0"/>
                          <w:marTop w:val="240"/>
                          <w:marBottom w:val="240"/>
                          <w:divBdr>
                            <w:top w:val="none" w:sz="0" w:space="0" w:color="auto"/>
                            <w:left w:val="none" w:sz="0" w:space="0" w:color="auto"/>
                            <w:bottom w:val="none" w:sz="0" w:space="0" w:color="auto"/>
                            <w:right w:val="none" w:sz="0" w:space="0" w:color="auto"/>
                          </w:divBdr>
                        </w:div>
                      </w:divsChild>
                    </w:div>
                    <w:div w:id="225072833">
                      <w:marLeft w:val="360"/>
                      <w:marRight w:val="360"/>
                      <w:marTop w:val="0"/>
                      <w:marBottom w:val="300"/>
                      <w:divBdr>
                        <w:top w:val="none" w:sz="0" w:space="0" w:color="auto"/>
                        <w:left w:val="none" w:sz="0" w:space="0" w:color="auto"/>
                        <w:bottom w:val="none" w:sz="0" w:space="0" w:color="auto"/>
                        <w:right w:val="none" w:sz="0" w:space="0" w:color="auto"/>
                      </w:divBdr>
                    </w:div>
                  </w:divsChild>
                </w:div>
                <w:div w:id="1911503474">
                  <w:marLeft w:val="0"/>
                  <w:marRight w:val="0"/>
                  <w:marTop w:val="0"/>
                  <w:marBottom w:val="0"/>
                  <w:divBdr>
                    <w:top w:val="none" w:sz="0" w:space="0" w:color="auto"/>
                    <w:left w:val="none" w:sz="0" w:space="0" w:color="auto"/>
                    <w:bottom w:val="none" w:sz="0" w:space="0" w:color="auto"/>
                    <w:right w:val="none" w:sz="0" w:space="0" w:color="auto"/>
                  </w:divBdr>
                  <w:divsChild>
                    <w:div w:id="923025549">
                      <w:marLeft w:val="360"/>
                      <w:marRight w:val="36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68889484">
      <w:bodyDiv w:val="1"/>
      <w:marLeft w:val="0"/>
      <w:marRight w:val="0"/>
      <w:marTop w:val="0"/>
      <w:marBottom w:val="0"/>
      <w:divBdr>
        <w:top w:val="none" w:sz="0" w:space="0" w:color="auto"/>
        <w:left w:val="none" w:sz="0" w:space="0" w:color="auto"/>
        <w:bottom w:val="none" w:sz="0" w:space="0" w:color="auto"/>
        <w:right w:val="none" w:sz="0" w:space="0" w:color="auto"/>
      </w:divBdr>
    </w:div>
    <w:div w:id="960770293">
      <w:bodyDiv w:val="1"/>
      <w:marLeft w:val="0"/>
      <w:marRight w:val="0"/>
      <w:marTop w:val="0"/>
      <w:marBottom w:val="0"/>
      <w:divBdr>
        <w:top w:val="none" w:sz="0" w:space="0" w:color="auto"/>
        <w:left w:val="none" w:sz="0" w:space="0" w:color="auto"/>
        <w:bottom w:val="none" w:sz="0" w:space="0" w:color="auto"/>
        <w:right w:val="none" w:sz="0" w:space="0" w:color="auto"/>
      </w:divBdr>
    </w:div>
    <w:div w:id="969095985">
      <w:bodyDiv w:val="1"/>
      <w:marLeft w:val="0"/>
      <w:marRight w:val="0"/>
      <w:marTop w:val="0"/>
      <w:marBottom w:val="0"/>
      <w:divBdr>
        <w:top w:val="none" w:sz="0" w:space="0" w:color="auto"/>
        <w:left w:val="none" w:sz="0" w:space="0" w:color="auto"/>
        <w:bottom w:val="none" w:sz="0" w:space="0" w:color="auto"/>
        <w:right w:val="none" w:sz="0" w:space="0" w:color="auto"/>
      </w:divBdr>
    </w:div>
    <w:div w:id="995494144">
      <w:bodyDiv w:val="1"/>
      <w:marLeft w:val="0"/>
      <w:marRight w:val="0"/>
      <w:marTop w:val="0"/>
      <w:marBottom w:val="0"/>
      <w:divBdr>
        <w:top w:val="none" w:sz="0" w:space="0" w:color="auto"/>
        <w:left w:val="none" w:sz="0" w:space="0" w:color="auto"/>
        <w:bottom w:val="none" w:sz="0" w:space="0" w:color="auto"/>
        <w:right w:val="none" w:sz="0" w:space="0" w:color="auto"/>
      </w:divBdr>
    </w:div>
    <w:div w:id="1008337625">
      <w:bodyDiv w:val="1"/>
      <w:marLeft w:val="0"/>
      <w:marRight w:val="0"/>
      <w:marTop w:val="0"/>
      <w:marBottom w:val="0"/>
      <w:divBdr>
        <w:top w:val="none" w:sz="0" w:space="0" w:color="auto"/>
        <w:left w:val="none" w:sz="0" w:space="0" w:color="auto"/>
        <w:bottom w:val="none" w:sz="0" w:space="0" w:color="auto"/>
        <w:right w:val="none" w:sz="0" w:space="0" w:color="auto"/>
      </w:divBdr>
      <w:divsChild>
        <w:div w:id="573585973">
          <w:marLeft w:val="0"/>
          <w:marRight w:val="0"/>
          <w:marTop w:val="0"/>
          <w:marBottom w:val="150"/>
          <w:divBdr>
            <w:top w:val="none" w:sz="0" w:space="0" w:color="auto"/>
            <w:left w:val="none" w:sz="0" w:space="0" w:color="auto"/>
            <w:bottom w:val="none" w:sz="0" w:space="0" w:color="auto"/>
            <w:right w:val="none" w:sz="0" w:space="0" w:color="auto"/>
          </w:divBdr>
        </w:div>
        <w:div w:id="753745521">
          <w:marLeft w:val="0"/>
          <w:marRight w:val="0"/>
          <w:marTop w:val="0"/>
          <w:marBottom w:val="225"/>
          <w:divBdr>
            <w:top w:val="none" w:sz="0" w:space="0" w:color="auto"/>
            <w:left w:val="none" w:sz="0" w:space="0" w:color="auto"/>
            <w:bottom w:val="none" w:sz="0" w:space="0" w:color="auto"/>
            <w:right w:val="none" w:sz="0" w:space="0" w:color="auto"/>
          </w:divBdr>
          <w:divsChild>
            <w:div w:id="622423582">
              <w:marLeft w:val="0"/>
              <w:marRight w:val="0"/>
              <w:marTop w:val="0"/>
              <w:marBottom w:val="0"/>
              <w:divBdr>
                <w:top w:val="none" w:sz="0" w:space="0" w:color="auto"/>
                <w:left w:val="none" w:sz="0" w:space="0" w:color="auto"/>
                <w:bottom w:val="none" w:sz="0" w:space="0" w:color="auto"/>
                <w:right w:val="none" w:sz="0" w:space="0" w:color="auto"/>
              </w:divBdr>
              <w:divsChild>
                <w:div w:id="19649253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9589015">
      <w:bodyDiv w:val="1"/>
      <w:marLeft w:val="0"/>
      <w:marRight w:val="0"/>
      <w:marTop w:val="0"/>
      <w:marBottom w:val="0"/>
      <w:divBdr>
        <w:top w:val="none" w:sz="0" w:space="0" w:color="auto"/>
        <w:left w:val="none" w:sz="0" w:space="0" w:color="auto"/>
        <w:bottom w:val="none" w:sz="0" w:space="0" w:color="auto"/>
        <w:right w:val="none" w:sz="0" w:space="0" w:color="auto"/>
      </w:divBdr>
    </w:div>
    <w:div w:id="1142621416">
      <w:bodyDiv w:val="1"/>
      <w:marLeft w:val="0"/>
      <w:marRight w:val="0"/>
      <w:marTop w:val="0"/>
      <w:marBottom w:val="0"/>
      <w:divBdr>
        <w:top w:val="none" w:sz="0" w:space="0" w:color="auto"/>
        <w:left w:val="none" w:sz="0" w:space="0" w:color="auto"/>
        <w:bottom w:val="none" w:sz="0" w:space="0" w:color="auto"/>
        <w:right w:val="none" w:sz="0" w:space="0" w:color="auto"/>
      </w:divBdr>
    </w:div>
    <w:div w:id="1162820048">
      <w:bodyDiv w:val="1"/>
      <w:marLeft w:val="0"/>
      <w:marRight w:val="0"/>
      <w:marTop w:val="0"/>
      <w:marBottom w:val="0"/>
      <w:divBdr>
        <w:top w:val="none" w:sz="0" w:space="0" w:color="auto"/>
        <w:left w:val="none" w:sz="0" w:space="0" w:color="auto"/>
        <w:bottom w:val="none" w:sz="0" w:space="0" w:color="auto"/>
        <w:right w:val="none" w:sz="0" w:space="0" w:color="auto"/>
      </w:divBdr>
      <w:divsChild>
        <w:div w:id="1057438538">
          <w:marLeft w:val="0"/>
          <w:marRight w:val="0"/>
          <w:marTop w:val="0"/>
          <w:marBottom w:val="0"/>
          <w:divBdr>
            <w:top w:val="none" w:sz="0" w:space="0" w:color="auto"/>
            <w:left w:val="none" w:sz="0" w:space="0" w:color="auto"/>
            <w:bottom w:val="none" w:sz="0" w:space="0" w:color="auto"/>
            <w:right w:val="none" w:sz="0" w:space="0" w:color="auto"/>
          </w:divBdr>
          <w:divsChild>
            <w:div w:id="1302348119">
              <w:marLeft w:val="0"/>
              <w:marRight w:val="0"/>
              <w:marTop w:val="0"/>
              <w:marBottom w:val="120"/>
              <w:divBdr>
                <w:top w:val="none" w:sz="0" w:space="0" w:color="auto"/>
                <w:left w:val="none" w:sz="0" w:space="0" w:color="auto"/>
                <w:bottom w:val="none" w:sz="0" w:space="0" w:color="auto"/>
                <w:right w:val="none" w:sz="0" w:space="0" w:color="auto"/>
              </w:divBdr>
              <w:divsChild>
                <w:div w:id="21157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519">
          <w:marLeft w:val="0"/>
          <w:marRight w:val="0"/>
          <w:marTop w:val="0"/>
          <w:marBottom w:val="480"/>
          <w:divBdr>
            <w:top w:val="none" w:sz="0" w:space="0" w:color="auto"/>
            <w:left w:val="none" w:sz="0" w:space="0" w:color="auto"/>
            <w:bottom w:val="single" w:sz="12" w:space="24" w:color="EBEBEB"/>
            <w:right w:val="none" w:sz="0" w:space="0" w:color="auto"/>
          </w:divBdr>
          <w:divsChild>
            <w:div w:id="1250772370">
              <w:marLeft w:val="0"/>
              <w:marRight w:val="0"/>
              <w:marTop w:val="0"/>
              <w:marBottom w:val="0"/>
              <w:divBdr>
                <w:top w:val="none" w:sz="0" w:space="0" w:color="auto"/>
                <w:left w:val="none" w:sz="0" w:space="0" w:color="auto"/>
                <w:bottom w:val="none" w:sz="0" w:space="0" w:color="auto"/>
                <w:right w:val="none" w:sz="0" w:space="0" w:color="auto"/>
              </w:divBdr>
              <w:divsChild>
                <w:div w:id="1768498744">
                  <w:marLeft w:val="0"/>
                  <w:marRight w:val="0"/>
                  <w:marTop w:val="0"/>
                  <w:marBottom w:val="0"/>
                  <w:divBdr>
                    <w:top w:val="none" w:sz="0" w:space="0" w:color="auto"/>
                    <w:left w:val="none" w:sz="0" w:space="0" w:color="auto"/>
                    <w:bottom w:val="none" w:sz="0" w:space="0" w:color="auto"/>
                    <w:right w:val="none" w:sz="0" w:space="0" w:color="auto"/>
                  </w:divBdr>
                </w:div>
                <w:div w:id="1279410839">
                  <w:marLeft w:val="0"/>
                  <w:marRight w:val="0"/>
                  <w:marTop w:val="0"/>
                  <w:marBottom w:val="0"/>
                  <w:divBdr>
                    <w:top w:val="none" w:sz="0" w:space="0" w:color="auto"/>
                    <w:left w:val="none" w:sz="0" w:space="0" w:color="auto"/>
                    <w:bottom w:val="none" w:sz="0" w:space="0" w:color="auto"/>
                    <w:right w:val="none" w:sz="0" w:space="0" w:color="auto"/>
                  </w:divBdr>
                </w:div>
                <w:div w:id="806246581">
                  <w:marLeft w:val="0"/>
                  <w:marRight w:val="0"/>
                  <w:marTop w:val="0"/>
                  <w:marBottom w:val="0"/>
                  <w:divBdr>
                    <w:top w:val="none" w:sz="0" w:space="0" w:color="auto"/>
                    <w:left w:val="none" w:sz="0" w:space="0" w:color="auto"/>
                    <w:bottom w:val="none" w:sz="0" w:space="0" w:color="auto"/>
                    <w:right w:val="none" w:sz="0" w:space="0" w:color="auto"/>
                  </w:divBdr>
                </w:div>
                <w:div w:id="1038119914">
                  <w:marLeft w:val="0"/>
                  <w:marRight w:val="0"/>
                  <w:marTop w:val="0"/>
                  <w:marBottom w:val="0"/>
                  <w:divBdr>
                    <w:top w:val="none" w:sz="0" w:space="0" w:color="auto"/>
                    <w:left w:val="none" w:sz="0" w:space="0" w:color="auto"/>
                    <w:bottom w:val="none" w:sz="0" w:space="0" w:color="auto"/>
                    <w:right w:val="none" w:sz="0" w:space="0" w:color="auto"/>
                  </w:divBdr>
                </w:div>
                <w:div w:id="1943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17740">
          <w:marLeft w:val="0"/>
          <w:marRight w:val="0"/>
          <w:marTop w:val="0"/>
          <w:marBottom w:val="0"/>
          <w:divBdr>
            <w:top w:val="none" w:sz="0" w:space="0" w:color="auto"/>
            <w:left w:val="none" w:sz="0" w:space="0" w:color="auto"/>
            <w:bottom w:val="none" w:sz="0" w:space="0" w:color="auto"/>
            <w:right w:val="none" w:sz="0" w:space="0" w:color="auto"/>
          </w:divBdr>
          <w:divsChild>
            <w:div w:id="2004971801">
              <w:marLeft w:val="0"/>
              <w:marRight w:val="0"/>
              <w:marTop w:val="0"/>
              <w:marBottom w:val="0"/>
              <w:divBdr>
                <w:top w:val="none" w:sz="0" w:space="0" w:color="auto"/>
                <w:left w:val="none" w:sz="0" w:space="0" w:color="auto"/>
                <w:bottom w:val="none" w:sz="0" w:space="0" w:color="auto"/>
                <w:right w:val="none" w:sz="0" w:space="0" w:color="auto"/>
              </w:divBdr>
              <w:divsChild>
                <w:div w:id="1660579224">
                  <w:marLeft w:val="0"/>
                  <w:marRight w:val="0"/>
                  <w:marTop w:val="0"/>
                  <w:marBottom w:val="0"/>
                  <w:divBdr>
                    <w:top w:val="none" w:sz="0" w:space="0" w:color="auto"/>
                    <w:left w:val="none" w:sz="0" w:space="0" w:color="auto"/>
                    <w:bottom w:val="none" w:sz="0" w:space="0" w:color="auto"/>
                    <w:right w:val="none" w:sz="0" w:space="0" w:color="auto"/>
                  </w:divBdr>
                  <w:divsChild>
                    <w:div w:id="1712420328">
                      <w:marLeft w:val="360"/>
                      <w:marRight w:val="360"/>
                      <w:marTop w:val="0"/>
                      <w:marBottom w:val="300"/>
                      <w:divBdr>
                        <w:top w:val="none" w:sz="0" w:space="0" w:color="auto"/>
                        <w:left w:val="none" w:sz="0" w:space="0" w:color="auto"/>
                        <w:bottom w:val="none" w:sz="0" w:space="0" w:color="auto"/>
                        <w:right w:val="none" w:sz="0" w:space="0" w:color="auto"/>
                      </w:divBdr>
                    </w:div>
                  </w:divsChild>
                </w:div>
                <w:div w:id="496457082">
                  <w:marLeft w:val="0"/>
                  <w:marRight w:val="0"/>
                  <w:marTop w:val="0"/>
                  <w:marBottom w:val="0"/>
                  <w:divBdr>
                    <w:top w:val="none" w:sz="0" w:space="0" w:color="auto"/>
                    <w:left w:val="none" w:sz="0" w:space="0" w:color="auto"/>
                    <w:bottom w:val="none" w:sz="0" w:space="0" w:color="auto"/>
                    <w:right w:val="none" w:sz="0" w:space="0" w:color="auto"/>
                  </w:divBdr>
                  <w:divsChild>
                    <w:div w:id="1885602176">
                      <w:marLeft w:val="0"/>
                      <w:marRight w:val="0"/>
                      <w:marTop w:val="240"/>
                      <w:marBottom w:val="240"/>
                      <w:divBdr>
                        <w:top w:val="single" w:sz="12" w:space="0" w:color="EBEBEB"/>
                        <w:left w:val="none" w:sz="0" w:space="0" w:color="auto"/>
                        <w:bottom w:val="single" w:sz="12" w:space="0" w:color="EBEBEB"/>
                        <w:right w:val="none" w:sz="0" w:space="0" w:color="auto"/>
                      </w:divBdr>
                      <w:divsChild>
                        <w:div w:id="2088726496">
                          <w:marLeft w:val="360"/>
                          <w:marRight w:val="360"/>
                          <w:marTop w:val="0"/>
                          <w:marBottom w:val="300"/>
                          <w:divBdr>
                            <w:top w:val="none" w:sz="0" w:space="0" w:color="auto"/>
                            <w:left w:val="none" w:sz="0" w:space="0" w:color="auto"/>
                            <w:bottom w:val="none" w:sz="0" w:space="0" w:color="auto"/>
                            <w:right w:val="none" w:sz="0" w:space="0" w:color="auto"/>
                          </w:divBdr>
                        </w:div>
                        <w:div w:id="21230694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19257341">
                  <w:marLeft w:val="0"/>
                  <w:marRight w:val="0"/>
                  <w:marTop w:val="0"/>
                  <w:marBottom w:val="0"/>
                  <w:divBdr>
                    <w:top w:val="none" w:sz="0" w:space="0" w:color="auto"/>
                    <w:left w:val="none" w:sz="0" w:space="0" w:color="auto"/>
                    <w:bottom w:val="none" w:sz="0" w:space="0" w:color="auto"/>
                    <w:right w:val="none" w:sz="0" w:space="0" w:color="auto"/>
                  </w:divBdr>
                  <w:divsChild>
                    <w:div w:id="168061456">
                      <w:marLeft w:val="360"/>
                      <w:marRight w:val="360"/>
                      <w:marTop w:val="0"/>
                      <w:marBottom w:val="300"/>
                      <w:divBdr>
                        <w:top w:val="none" w:sz="0" w:space="0" w:color="auto"/>
                        <w:left w:val="none" w:sz="0" w:space="0" w:color="auto"/>
                        <w:bottom w:val="none" w:sz="0" w:space="0" w:color="auto"/>
                        <w:right w:val="none" w:sz="0" w:space="0" w:color="auto"/>
                      </w:divBdr>
                    </w:div>
                  </w:divsChild>
                </w:div>
                <w:div w:id="369887590">
                  <w:marLeft w:val="0"/>
                  <w:marRight w:val="0"/>
                  <w:marTop w:val="240"/>
                  <w:marBottom w:val="240"/>
                  <w:divBdr>
                    <w:top w:val="none" w:sz="0" w:space="0" w:color="auto"/>
                    <w:left w:val="none" w:sz="0" w:space="0" w:color="auto"/>
                    <w:bottom w:val="none" w:sz="0" w:space="0" w:color="auto"/>
                    <w:right w:val="none" w:sz="0" w:space="0" w:color="auto"/>
                  </w:divBdr>
                </w:div>
                <w:div w:id="649213781">
                  <w:marLeft w:val="0"/>
                  <w:marRight w:val="0"/>
                  <w:marTop w:val="240"/>
                  <w:marBottom w:val="240"/>
                  <w:divBdr>
                    <w:top w:val="none" w:sz="0" w:space="0" w:color="auto"/>
                    <w:left w:val="none" w:sz="0" w:space="0" w:color="auto"/>
                    <w:bottom w:val="none" w:sz="0" w:space="0" w:color="auto"/>
                    <w:right w:val="none" w:sz="0" w:space="0" w:color="auto"/>
                  </w:divBdr>
                </w:div>
                <w:div w:id="1657998478">
                  <w:marLeft w:val="0"/>
                  <w:marRight w:val="0"/>
                  <w:marTop w:val="240"/>
                  <w:marBottom w:val="240"/>
                  <w:divBdr>
                    <w:top w:val="none" w:sz="0" w:space="0" w:color="auto"/>
                    <w:left w:val="none" w:sz="0" w:space="0" w:color="auto"/>
                    <w:bottom w:val="none" w:sz="0" w:space="0" w:color="auto"/>
                    <w:right w:val="none" w:sz="0" w:space="0" w:color="auto"/>
                  </w:divBdr>
                </w:div>
                <w:div w:id="475025029">
                  <w:marLeft w:val="0"/>
                  <w:marRight w:val="0"/>
                  <w:marTop w:val="240"/>
                  <w:marBottom w:val="240"/>
                  <w:divBdr>
                    <w:top w:val="none" w:sz="0" w:space="0" w:color="auto"/>
                    <w:left w:val="none" w:sz="0" w:space="0" w:color="auto"/>
                    <w:bottom w:val="none" w:sz="0" w:space="0" w:color="auto"/>
                    <w:right w:val="none" w:sz="0" w:space="0" w:color="auto"/>
                  </w:divBdr>
                </w:div>
                <w:div w:id="1819103744">
                  <w:marLeft w:val="0"/>
                  <w:marRight w:val="0"/>
                  <w:marTop w:val="240"/>
                  <w:marBottom w:val="240"/>
                  <w:divBdr>
                    <w:top w:val="none" w:sz="0" w:space="0" w:color="auto"/>
                    <w:left w:val="none" w:sz="0" w:space="0" w:color="auto"/>
                    <w:bottom w:val="none" w:sz="0" w:space="0" w:color="auto"/>
                    <w:right w:val="none" w:sz="0" w:space="0" w:color="auto"/>
                  </w:divBdr>
                </w:div>
                <w:div w:id="2052458359">
                  <w:marLeft w:val="0"/>
                  <w:marRight w:val="0"/>
                  <w:marTop w:val="240"/>
                  <w:marBottom w:val="240"/>
                  <w:divBdr>
                    <w:top w:val="none" w:sz="0" w:space="0" w:color="auto"/>
                    <w:left w:val="none" w:sz="0" w:space="0" w:color="auto"/>
                    <w:bottom w:val="none" w:sz="0" w:space="0" w:color="auto"/>
                    <w:right w:val="none" w:sz="0" w:space="0" w:color="auto"/>
                  </w:divBdr>
                </w:div>
                <w:div w:id="1702825501">
                  <w:marLeft w:val="0"/>
                  <w:marRight w:val="0"/>
                  <w:marTop w:val="240"/>
                  <w:marBottom w:val="240"/>
                  <w:divBdr>
                    <w:top w:val="none" w:sz="0" w:space="0" w:color="auto"/>
                    <w:left w:val="none" w:sz="0" w:space="0" w:color="auto"/>
                    <w:bottom w:val="none" w:sz="0" w:space="0" w:color="auto"/>
                    <w:right w:val="none" w:sz="0" w:space="0" w:color="auto"/>
                  </w:divBdr>
                </w:div>
                <w:div w:id="1925991247">
                  <w:marLeft w:val="0"/>
                  <w:marRight w:val="0"/>
                  <w:marTop w:val="0"/>
                  <w:marBottom w:val="0"/>
                  <w:divBdr>
                    <w:top w:val="none" w:sz="0" w:space="0" w:color="auto"/>
                    <w:left w:val="none" w:sz="0" w:space="0" w:color="auto"/>
                    <w:bottom w:val="none" w:sz="0" w:space="0" w:color="auto"/>
                    <w:right w:val="none" w:sz="0" w:space="0" w:color="auto"/>
                  </w:divBdr>
                  <w:divsChild>
                    <w:div w:id="1597859893">
                      <w:marLeft w:val="360"/>
                      <w:marRight w:val="360"/>
                      <w:marTop w:val="0"/>
                      <w:marBottom w:val="300"/>
                      <w:divBdr>
                        <w:top w:val="none" w:sz="0" w:space="0" w:color="auto"/>
                        <w:left w:val="none" w:sz="0" w:space="0" w:color="auto"/>
                        <w:bottom w:val="none" w:sz="0" w:space="0" w:color="auto"/>
                        <w:right w:val="none" w:sz="0" w:space="0" w:color="auto"/>
                      </w:divBdr>
                    </w:div>
                  </w:divsChild>
                </w:div>
                <w:div w:id="309790463">
                  <w:marLeft w:val="0"/>
                  <w:marRight w:val="0"/>
                  <w:marTop w:val="0"/>
                  <w:marBottom w:val="0"/>
                  <w:divBdr>
                    <w:top w:val="none" w:sz="0" w:space="0" w:color="auto"/>
                    <w:left w:val="none" w:sz="0" w:space="0" w:color="auto"/>
                    <w:bottom w:val="none" w:sz="0" w:space="0" w:color="auto"/>
                    <w:right w:val="none" w:sz="0" w:space="0" w:color="auto"/>
                  </w:divBdr>
                  <w:divsChild>
                    <w:div w:id="723136746">
                      <w:marLeft w:val="0"/>
                      <w:marRight w:val="0"/>
                      <w:marTop w:val="240"/>
                      <w:marBottom w:val="240"/>
                      <w:divBdr>
                        <w:top w:val="single" w:sz="12" w:space="0" w:color="EBEBEB"/>
                        <w:left w:val="none" w:sz="0" w:space="0" w:color="auto"/>
                        <w:bottom w:val="single" w:sz="12" w:space="0" w:color="EBEBEB"/>
                        <w:right w:val="none" w:sz="0" w:space="0" w:color="auto"/>
                      </w:divBdr>
                      <w:divsChild>
                        <w:div w:id="912588818">
                          <w:marLeft w:val="360"/>
                          <w:marRight w:val="360"/>
                          <w:marTop w:val="0"/>
                          <w:marBottom w:val="300"/>
                          <w:divBdr>
                            <w:top w:val="none" w:sz="0" w:space="0" w:color="auto"/>
                            <w:left w:val="none" w:sz="0" w:space="0" w:color="auto"/>
                            <w:bottom w:val="none" w:sz="0" w:space="0" w:color="auto"/>
                            <w:right w:val="none" w:sz="0" w:space="0" w:color="auto"/>
                          </w:divBdr>
                        </w:div>
                        <w:div w:id="8287148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02409111">
                  <w:marLeft w:val="0"/>
                  <w:marRight w:val="0"/>
                  <w:marTop w:val="0"/>
                  <w:marBottom w:val="0"/>
                  <w:divBdr>
                    <w:top w:val="none" w:sz="0" w:space="0" w:color="auto"/>
                    <w:left w:val="none" w:sz="0" w:space="0" w:color="auto"/>
                    <w:bottom w:val="none" w:sz="0" w:space="0" w:color="auto"/>
                    <w:right w:val="none" w:sz="0" w:space="0" w:color="auto"/>
                  </w:divBdr>
                  <w:divsChild>
                    <w:div w:id="428545364">
                      <w:marLeft w:val="360"/>
                      <w:marRight w:val="360"/>
                      <w:marTop w:val="0"/>
                      <w:marBottom w:val="300"/>
                      <w:divBdr>
                        <w:top w:val="none" w:sz="0" w:space="0" w:color="auto"/>
                        <w:left w:val="none" w:sz="0" w:space="0" w:color="auto"/>
                        <w:bottom w:val="none" w:sz="0" w:space="0" w:color="auto"/>
                        <w:right w:val="none" w:sz="0" w:space="0" w:color="auto"/>
                      </w:divBdr>
                    </w:div>
                  </w:divsChild>
                </w:div>
                <w:div w:id="613248994">
                  <w:marLeft w:val="0"/>
                  <w:marRight w:val="0"/>
                  <w:marTop w:val="0"/>
                  <w:marBottom w:val="0"/>
                  <w:divBdr>
                    <w:top w:val="none" w:sz="0" w:space="0" w:color="auto"/>
                    <w:left w:val="none" w:sz="0" w:space="0" w:color="auto"/>
                    <w:bottom w:val="none" w:sz="0" w:space="0" w:color="auto"/>
                    <w:right w:val="none" w:sz="0" w:space="0" w:color="auto"/>
                  </w:divBdr>
                  <w:divsChild>
                    <w:div w:id="1915046461">
                      <w:marLeft w:val="360"/>
                      <w:marRight w:val="360"/>
                      <w:marTop w:val="0"/>
                      <w:marBottom w:val="300"/>
                      <w:divBdr>
                        <w:top w:val="none" w:sz="0" w:space="0" w:color="auto"/>
                        <w:left w:val="none" w:sz="0" w:space="0" w:color="auto"/>
                        <w:bottom w:val="none" w:sz="0" w:space="0" w:color="auto"/>
                        <w:right w:val="none" w:sz="0" w:space="0" w:color="auto"/>
                      </w:divBdr>
                    </w:div>
                  </w:divsChild>
                </w:div>
                <w:div w:id="645474266">
                  <w:marLeft w:val="0"/>
                  <w:marRight w:val="0"/>
                  <w:marTop w:val="0"/>
                  <w:marBottom w:val="0"/>
                  <w:divBdr>
                    <w:top w:val="none" w:sz="0" w:space="0" w:color="auto"/>
                    <w:left w:val="none" w:sz="0" w:space="0" w:color="auto"/>
                    <w:bottom w:val="none" w:sz="0" w:space="0" w:color="auto"/>
                    <w:right w:val="none" w:sz="0" w:space="0" w:color="auto"/>
                  </w:divBdr>
                  <w:divsChild>
                    <w:div w:id="769357775">
                      <w:marLeft w:val="360"/>
                      <w:marRight w:val="360"/>
                      <w:marTop w:val="0"/>
                      <w:marBottom w:val="300"/>
                      <w:divBdr>
                        <w:top w:val="none" w:sz="0" w:space="0" w:color="auto"/>
                        <w:left w:val="none" w:sz="0" w:space="0" w:color="auto"/>
                        <w:bottom w:val="none" w:sz="0" w:space="0" w:color="auto"/>
                        <w:right w:val="none" w:sz="0" w:space="0" w:color="auto"/>
                      </w:divBdr>
                    </w:div>
                    <w:div w:id="1977952041">
                      <w:marLeft w:val="360"/>
                      <w:marRight w:val="360"/>
                      <w:marTop w:val="0"/>
                      <w:marBottom w:val="300"/>
                      <w:divBdr>
                        <w:top w:val="none" w:sz="0" w:space="0" w:color="auto"/>
                        <w:left w:val="none" w:sz="0" w:space="0" w:color="auto"/>
                        <w:bottom w:val="none" w:sz="0" w:space="0" w:color="auto"/>
                        <w:right w:val="none" w:sz="0" w:space="0" w:color="auto"/>
                      </w:divBdr>
                    </w:div>
                    <w:div w:id="187063709">
                      <w:marLeft w:val="360"/>
                      <w:marRight w:val="360"/>
                      <w:marTop w:val="0"/>
                      <w:marBottom w:val="300"/>
                      <w:divBdr>
                        <w:top w:val="none" w:sz="0" w:space="0" w:color="auto"/>
                        <w:left w:val="none" w:sz="0" w:space="0" w:color="auto"/>
                        <w:bottom w:val="none" w:sz="0" w:space="0" w:color="auto"/>
                        <w:right w:val="none" w:sz="0" w:space="0" w:color="auto"/>
                      </w:divBdr>
                    </w:div>
                    <w:div w:id="1285502073">
                      <w:marLeft w:val="360"/>
                      <w:marRight w:val="360"/>
                      <w:marTop w:val="0"/>
                      <w:marBottom w:val="300"/>
                      <w:divBdr>
                        <w:top w:val="none" w:sz="0" w:space="0" w:color="auto"/>
                        <w:left w:val="none" w:sz="0" w:space="0" w:color="auto"/>
                        <w:bottom w:val="none" w:sz="0" w:space="0" w:color="auto"/>
                        <w:right w:val="none" w:sz="0" w:space="0" w:color="auto"/>
                      </w:divBdr>
                    </w:div>
                  </w:divsChild>
                </w:div>
                <w:div w:id="1045636442">
                  <w:marLeft w:val="0"/>
                  <w:marRight w:val="0"/>
                  <w:marTop w:val="0"/>
                  <w:marBottom w:val="0"/>
                  <w:divBdr>
                    <w:top w:val="none" w:sz="0" w:space="0" w:color="auto"/>
                    <w:left w:val="none" w:sz="0" w:space="0" w:color="auto"/>
                    <w:bottom w:val="none" w:sz="0" w:space="0" w:color="auto"/>
                    <w:right w:val="none" w:sz="0" w:space="0" w:color="auto"/>
                  </w:divBdr>
                  <w:divsChild>
                    <w:div w:id="1624073518">
                      <w:marLeft w:val="0"/>
                      <w:marRight w:val="0"/>
                      <w:marTop w:val="240"/>
                      <w:marBottom w:val="240"/>
                      <w:divBdr>
                        <w:top w:val="single" w:sz="12" w:space="0" w:color="EBEBEB"/>
                        <w:left w:val="none" w:sz="0" w:space="0" w:color="auto"/>
                        <w:bottom w:val="single" w:sz="12" w:space="0" w:color="EBEBEB"/>
                        <w:right w:val="none" w:sz="0" w:space="0" w:color="auto"/>
                      </w:divBdr>
                      <w:divsChild>
                        <w:div w:id="1834098929">
                          <w:marLeft w:val="360"/>
                          <w:marRight w:val="360"/>
                          <w:marTop w:val="0"/>
                          <w:marBottom w:val="300"/>
                          <w:divBdr>
                            <w:top w:val="none" w:sz="0" w:space="0" w:color="auto"/>
                            <w:left w:val="none" w:sz="0" w:space="0" w:color="auto"/>
                            <w:bottom w:val="none" w:sz="0" w:space="0" w:color="auto"/>
                            <w:right w:val="none" w:sz="0" w:space="0" w:color="auto"/>
                          </w:divBdr>
                        </w:div>
                        <w:div w:id="142036706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7092102">
      <w:bodyDiv w:val="1"/>
      <w:marLeft w:val="0"/>
      <w:marRight w:val="0"/>
      <w:marTop w:val="0"/>
      <w:marBottom w:val="0"/>
      <w:divBdr>
        <w:top w:val="none" w:sz="0" w:space="0" w:color="auto"/>
        <w:left w:val="none" w:sz="0" w:space="0" w:color="auto"/>
        <w:bottom w:val="none" w:sz="0" w:space="0" w:color="auto"/>
        <w:right w:val="none" w:sz="0" w:space="0" w:color="auto"/>
      </w:divBdr>
      <w:divsChild>
        <w:div w:id="952321070">
          <w:marLeft w:val="0"/>
          <w:marRight w:val="0"/>
          <w:marTop w:val="0"/>
          <w:marBottom w:val="120"/>
          <w:divBdr>
            <w:top w:val="none" w:sz="0" w:space="0" w:color="auto"/>
            <w:left w:val="none" w:sz="0" w:space="0" w:color="auto"/>
            <w:bottom w:val="none" w:sz="0" w:space="0" w:color="auto"/>
            <w:right w:val="none" w:sz="0" w:space="0" w:color="auto"/>
          </w:divBdr>
          <w:divsChild>
            <w:div w:id="34894267">
              <w:marLeft w:val="0"/>
              <w:marRight w:val="0"/>
              <w:marTop w:val="0"/>
              <w:marBottom w:val="0"/>
              <w:divBdr>
                <w:top w:val="none" w:sz="0" w:space="0" w:color="auto"/>
                <w:left w:val="none" w:sz="0" w:space="0" w:color="auto"/>
                <w:bottom w:val="none" w:sz="0" w:space="0" w:color="auto"/>
                <w:right w:val="none" w:sz="0" w:space="0" w:color="auto"/>
              </w:divBdr>
              <w:divsChild>
                <w:div w:id="792678375">
                  <w:marLeft w:val="0"/>
                  <w:marRight w:val="0"/>
                  <w:marTop w:val="0"/>
                  <w:marBottom w:val="0"/>
                  <w:divBdr>
                    <w:top w:val="none" w:sz="0" w:space="0" w:color="auto"/>
                    <w:left w:val="none" w:sz="0" w:space="0" w:color="auto"/>
                    <w:bottom w:val="none" w:sz="0" w:space="0" w:color="auto"/>
                    <w:right w:val="none" w:sz="0" w:space="0" w:color="auto"/>
                  </w:divBdr>
                  <w:divsChild>
                    <w:div w:id="19470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947235">
      <w:bodyDiv w:val="1"/>
      <w:marLeft w:val="0"/>
      <w:marRight w:val="0"/>
      <w:marTop w:val="0"/>
      <w:marBottom w:val="0"/>
      <w:divBdr>
        <w:top w:val="none" w:sz="0" w:space="0" w:color="auto"/>
        <w:left w:val="none" w:sz="0" w:space="0" w:color="auto"/>
        <w:bottom w:val="none" w:sz="0" w:space="0" w:color="auto"/>
        <w:right w:val="none" w:sz="0" w:space="0" w:color="auto"/>
      </w:divBdr>
    </w:div>
    <w:div w:id="1355613203">
      <w:bodyDiv w:val="1"/>
      <w:marLeft w:val="0"/>
      <w:marRight w:val="0"/>
      <w:marTop w:val="0"/>
      <w:marBottom w:val="0"/>
      <w:divBdr>
        <w:top w:val="none" w:sz="0" w:space="0" w:color="auto"/>
        <w:left w:val="none" w:sz="0" w:space="0" w:color="auto"/>
        <w:bottom w:val="none" w:sz="0" w:space="0" w:color="auto"/>
        <w:right w:val="none" w:sz="0" w:space="0" w:color="auto"/>
      </w:divBdr>
      <w:divsChild>
        <w:div w:id="560403928">
          <w:marLeft w:val="0"/>
          <w:marRight w:val="0"/>
          <w:marTop w:val="0"/>
          <w:marBottom w:val="0"/>
          <w:divBdr>
            <w:top w:val="none" w:sz="0" w:space="0" w:color="auto"/>
            <w:left w:val="none" w:sz="0" w:space="0" w:color="auto"/>
            <w:bottom w:val="none" w:sz="0" w:space="0" w:color="auto"/>
            <w:right w:val="none" w:sz="0" w:space="0" w:color="auto"/>
          </w:divBdr>
        </w:div>
      </w:divsChild>
    </w:div>
    <w:div w:id="1471358063">
      <w:bodyDiv w:val="1"/>
      <w:marLeft w:val="0"/>
      <w:marRight w:val="0"/>
      <w:marTop w:val="0"/>
      <w:marBottom w:val="0"/>
      <w:divBdr>
        <w:top w:val="none" w:sz="0" w:space="0" w:color="auto"/>
        <w:left w:val="none" w:sz="0" w:space="0" w:color="auto"/>
        <w:bottom w:val="none" w:sz="0" w:space="0" w:color="auto"/>
        <w:right w:val="none" w:sz="0" w:space="0" w:color="auto"/>
      </w:divBdr>
    </w:div>
    <w:div w:id="1642077175">
      <w:bodyDiv w:val="1"/>
      <w:marLeft w:val="0"/>
      <w:marRight w:val="0"/>
      <w:marTop w:val="0"/>
      <w:marBottom w:val="0"/>
      <w:divBdr>
        <w:top w:val="none" w:sz="0" w:space="0" w:color="auto"/>
        <w:left w:val="none" w:sz="0" w:space="0" w:color="auto"/>
        <w:bottom w:val="none" w:sz="0" w:space="0" w:color="auto"/>
        <w:right w:val="none" w:sz="0" w:space="0" w:color="auto"/>
      </w:divBdr>
    </w:div>
    <w:div w:id="1645742540">
      <w:bodyDiv w:val="1"/>
      <w:marLeft w:val="0"/>
      <w:marRight w:val="0"/>
      <w:marTop w:val="0"/>
      <w:marBottom w:val="0"/>
      <w:divBdr>
        <w:top w:val="none" w:sz="0" w:space="0" w:color="auto"/>
        <w:left w:val="none" w:sz="0" w:space="0" w:color="auto"/>
        <w:bottom w:val="none" w:sz="0" w:space="0" w:color="auto"/>
        <w:right w:val="none" w:sz="0" w:space="0" w:color="auto"/>
      </w:divBdr>
    </w:div>
    <w:div w:id="1645961051">
      <w:bodyDiv w:val="1"/>
      <w:marLeft w:val="0"/>
      <w:marRight w:val="0"/>
      <w:marTop w:val="0"/>
      <w:marBottom w:val="0"/>
      <w:divBdr>
        <w:top w:val="none" w:sz="0" w:space="0" w:color="auto"/>
        <w:left w:val="none" w:sz="0" w:space="0" w:color="auto"/>
        <w:bottom w:val="none" w:sz="0" w:space="0" w:color="auto"/>
        <w:right w:val="none" w:sz="0" w:space="0" w:color="auto"/>
      </w:divBdr>
    </w:div>
    <w:div w:id="1653410906">
      <w:bodyDiv w:val="1"/>
      <w:marLeft w:val="0"/>
      <w:marRight w:val="0"/>
      <w:marTop w:val="0"/>
      <w:marBottom w:val="0"/>
      <w:divBdr>
        <w:top w:val="none" w:sz="0" w:space="0" w:color="auto"/>
        <w:left w:val="none" w:sz="0" w:space="0" w:color="auto"/>
        <w:bottom w:val="none" w:sz="0" w:space="0" w:color="auto"/>
        <w:right w:val="none" w:sz="0" w:space="0" w:color="auto"/>
      </w:divBdr>
    </w:div>
    <w:div w:id="1667631468">
      <w:bodyDiv w:val="1"/>
      <w:marLeft w:val="0"/>
      <w:marRight w:val="0"/>
      <w:marTop w:val="0"/>
      <w:marBottom w:val="0"/>
      <w:divBdr>
        <w:top w:val="none" w:sz="0" w:space="0" w:color="auto"/>
        <w:left w:val="none" w:sz="0" w:space="0" w:color="auto"/>
        <w:bottom w:val="none" w:sz="0" w:space="0" w:color="auto"/>
        <w:right w:val="none" w:sz="0" w:space="0" w:color="auto"/>
      </w:divBdr>
    </w:div>
    <w:div w:id="1694838102">
      <w:bodyDiv w:val="1"/>
      <w:marLeft w:val="0"/>
      <w:marRight w:val="0"/>
      <w:marTop w:val="0"/>
      <w:marBottom w:val="0"/>
      <w:divBdr>
        <w:top w:val="none" w:sz="0" w:space="0" w:color="auto"/>
        <w:left w:val="none" w:sz="0" w:space="0" w:color="auto"/>
        <w:bottom w:val="none" w:sz="0" w:space="0" w:color="auto"/>
        <w:right w:val="none" w:sz="0" w:space="0" w:color="auto"/>
      </w:divBdr>
    </w:div>
    <w:div w:id="1717510423">
      <w:bodyDiv w:val="1"/>
      <w:marLeft w:val="0"/>
      <w:marRight w:val="0"/>
      <w:marTop w:val="0"/>
      <w:marBottom w:val="0"/>
      <w:divBdr>
        <w:top w:val="none" w:sz="0" w:space="0" w:color="auto"/>
        <w:left w:val="none" w:sz="0" w:space="0" w:color="auto"/>
        <w:bottom w:val="none" w:sz="0" w:space="0" w:color="auto"/>
        <w:right w:val="none" w:sz="0" w:space="0" w:color="auto"/>
      </w:divBdr>
    </w:div>
    <w:div w:id="1721595013">
      <w:bodyDiv w:val="1"/>
      <w:marLeft w:val="0"/>
      <w:marRight w:val="0"/>
      <w:marTop w:val="0"/>
      <w:marBottom w:val="0"/>
      <w:divBdr>
        <w:top w:val="none" w:sz="0" w:space="0" w:color="auto"/>
        <w:left w:val="none" w:sz="0" w:space="0" w:color="auto"/>
        <w:bottom w:val="none" w:sz="0" w:space="0" w:color="auto"/>
        <w:right w:val="none" w:sz="0" w:space="0" w:color="auto"/>
      </w:divBdr>
      <w:divsChild>
        <w:div w:id="1699349156">
          <w:marLeft w:val="0"/>
          <w:marRight w:val="0"/>
          <w:marTop w:val="0"/>
          <w:marBottom w:val="0"/>
          <w:divBdr>
            <w:top w:val="none" w:sz="0" w:space="0" w:color="auto"/>
            <w:left w:val="none" w:sz="0" w:space="0" w:color="auto"/>
            <w:bottom w:val="none" w:sz="0" w:space="0" w:color="auto"/>
            <w:right w:val="none" w:sz="0" w:space="0" w:color="auto"/>
          </w:divBdr>
          <w:divsChild>
            <w:div w:id="1330519725">
              <w:marLeft w:val="0"/>
              <w:marRight w:val="0"/>
              <w:marTop w:val="0"/>
              <w:marBottom w:val="120"/>
              <w:divBdr>
                <w:top w:val="none" w:sz="0" w:space="0" w:color="auto"/>
                <w:left w:val="none" w:sz="0" w:space="0" w:color="auto"/>
                <w:bottom w:val="none" w:sz="0" w:space="0" w:color="auto"/>
                <w:right w:val="none" w:sz="0" w:space="0" w:color="auto"/>
              </w:divBdr>
              <w:divsChild>
                <w:div w:id="768349998">
                  <w:marLeft w:val="0"/>
                  <w:marRight w:val="0"/>
                  <w:marTop w:val="0"/>
                  <w:marBottom w:val="0"/>
                  <w:divBdr>
                    <w:top w:val="none" w:sz="0" w:space="0" w:color="auto"/>
                    <w:left w:val="none" w:sz="0" w:space="0" w:color="auto"/>
                    <w:bottom w:val="none" w:sz="0" w:space="0" w:color="auto"/>
                    <w:right w:val="none" w:sz="0" w:space="0" w:color="auto"/>
                  </w:divBdr>
                </w:div>
              </w:divsChild>
            </w:div>
            <w:div w:id="1228110495">
              <w:marLeft w:val="0"/>
              <w:marRight w:val="0"/>
              <w:marTop w:val="0"/>
              <w:marBottom w:val="120"/>
              <w:divBdr>
                <w:top w:val="none" w:sz="0" w:space="0" w:color="auto"/>
                <w:left w:val="none" w:sz="0" w:space="0" w:color="auto"/>
                <w:bottom w:val="none" w:sz="0" w:space="0" w:color="auto"/>
                <w:right w:val="none" w:sz="0" w:space="0" w:color="auto"/>
              </w:divBdr>
              <w:divsChild>
                <w:div w:id="15248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6008">
          <w:marLeft w:val="0"/>
          <w:marRight w:val="0"/>
          <w:marTop w:val="0"/>
          <w:marBottom w:val="480"/>
          <w:divBdr>
            <w:top w:val="none" w:sz="0" w:space="0" w:color="auto"/>
            <w:left w:val="none" w:sz="0" w:space="0" w:color="auto"/>
            <w:bottom w:val="single" w:sz="12" w:space="24" w:color="EBEBEB"/>
            <w:right w:val="none" w:sz="0" w:space="0" w:color="auto"/>
          </w:divBdr>
          <w:divsChild>
            <w:div w:id="1529835231">
              <w:marLeft w:val="0"/>
              <w:marRight w:val="0"/>
              <w:marTop w:val="0"/>
              <w:marBottom w:val="0"/>
              <w:divBdr>
                <w:top w:val="none" w:sz="0" w:space="0" w:color="auto"/>
                <w:left w:val="none" w:sz="0" w:space="0" w:color="auto"/>
                <w:bottom w:val="none" w:sz="0" w:space="0" w:color="auto"/>
                <w:right w:val="none" w:sz="0" w:space="0" w:color="auto"/>
              </w:divBdr>
              <w:divsChild>
                <w:div w:id="1166093155">
                  <w:marLeft w:val="0"/>
                  <w:marRight w:val="0"/>
                  <w:marTop w:val="0"/>
                  <w:marBottom w:val="0"/>
                  <w:divBdr>
                    <w:top w:val="none" w:sz="0" w:space="0" w:color="auto"/>
                    <w:left w:val="none" w:sz="0" w:space="0" w:color="auto"/>
                    <w:bottom w:val="none" w:sz="0" w:space="0" w:color="auto"/>
                    <w:right w:val="none" w:sz="0" w:space="0" w:color="auto"/>
                  </w:divBdr>
                </w:div>
                <w:div w:id="172036772">
                  <w:marLeft w:val="0"/>
                  <w:marRight w:val="0"/>
                  <w:marTop w:val="0"/>
                  <w:marBottom w:val="0"/>
                  <w:divBdr>
                    <w:top w:val="none" w:sz="0" w:space="0" w:color="auto"/>
                    <w:left w:val="none" w:sz="0" w:space="0" w:color="auto"/>
                    <w:bottom w:val="none" w:sz="0" w:space="0" w:color="auto"/>
                    <w:right w:val="none" w:sz="0" w:space="0" w:color="auto"/>
                  </w:divBdr>
                </w:div>
                <w:div w:id="629746023">
                  <w:marLeft w:val="0"/>
                  <w:marRight w:val="0"/>
                  <w:marTop w:val="0"/>
                  <w:marBottom w:val="0"/>
                  <w:divBdr>
                    <w:top w:val="none" w:sz="0" w:space="0" w:color="auto"/>
                    <w:left w:val="none" w:sz="0" w:space="0" w:color="auto"/>
                    <w:bottom w:val="none" w:sz="0" w:space="0" w:color="auto"/>
                    <w:right w:val="none" w:sz="0" w:space="0" w:color="auto"/>
                  </w:divBdr>
                </w:div>
                <w:div w:id="1987197832">
                  <w:marLeft w:val="0"/>
                  <w:marRight w:val="0"/>
                  <w:marTop w:val="0"/>
                  <w:marBottom w:val="0"/>
                  <w:divBdr>
                    <w:top w:val="none" w:sz="0" w:space="0" w:color="auto"/>
                    <w:left w:val="none" w:sz="0" w:space="0" w:color="auto"/>
                    <w:bottom w:val="none" w:sz="0" w:space="0" w:color="auto"/>
                    <w:right w:val="none" w:sz="0" w:space="0" w:color="auto"/>
                  </w:divBdr>
                </w:div>
                <w:div w:id="153422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58281">
          <w:marLeft w:val="0"/>
          <w:marRight w:val="0"/>
          <w:marTop w:val="0"/>
          <w:marBottom w:val="0"/>
          <w:divBdr>
            <w:top w:val="none" w:sz="0" w:space="0" w:color="auto"/>
            <w:left w:val="none" w:sz="0" w:space="0" w:color="auto"/>
            <w:bottom w:val="none" w:sz="0" w:space="0" w:color="auto"/>
            <w:right w:val="none" w:sz="0" w:space="0" w:color="auto"/>
          </w:divBdr>
          <w:divsChild>
            <w:div w:id="323359262">
              <w:marLeft w:val="0"/>
              <w:marRight w:val="0"/>
              <w:marTop w:val="0"/>
              <w:marBottom w:val="0"/>
              <w:divBdr>
                <w:top w:val="none" w:sz="0" w:space="0" w:color="auto"/>
                <w:left w:val="none" w:sz="0" w:space="0" w:color="auto"/>
                <w:bottom w:val="none" w:sz="0" w:space="0" w:color="auto"/>
                <w:right w:val="none" w:sz="0" w:space="0" w:color="auto"/>
              </w:divBdr>
              <w:divsChild>
                <w:div w:id="871963957">
                  <w:marLeft w:val="0"/>
                  <w:marRight w:val="0"/>
                  <w:marTop w:val="0"/>
                  <w:marBottom w:val="0"/>
                  <w:divBdr>
                    <w:top w:val="none" w:sz="0" w:space="0" w:color="auto"/>
                    <w:left w:val="none" w:sz="0" w:space="0" w:color="auto"/>
                    <w:bottom w:val="none" w:sz="0" w:space="0" w:color="auto"/>
                    <w:right w:val="none" w:sz="0" w:space="0" w:color="auto"/>
                  </w:divBdr>
                  <w:divsChild>
                    <w:div w:id="824125814">
                      <w:marLeft w:val="360"/>
                      <w:marRight w:val="360"/>
                      <w:marTop w:val="0"/>
                      <w:marBottom w:val="300"/>
                      <w:divBdr>
                        <w:top w:val="none" w:sz="0" w:space="0" w:color="auto"/>
                        <w:left w:val="none" w:sz="0" w:space="0" w:color="auto"/>
                        <w:bottom w:val="none" w:sz="0" w:space="0" w:color="auto"/>
                        <w:right w:val="none" w:sz="0" w:space="0" w:color="auto"/>
                      </w:divBdr>
                    </w:div>
                  </w:divsChild>
                </w:div>
                <w:div w:id="440341117">
                  <w:marLeft w:val="0"/>
                  <w:marRight w:val="0"/>
                  <w:marTop w:val="240"/>
                  <w:marBottom w:val="240"/>
                  <w:divBdr>
                    <w:top w:val="none" w:sz="0" w:space="0" w:color="auto"/>
                    <w:left w:val="none" w:sz="0" w:space="0" w:color="auto"/>
                    <w:bottom w:val="none" w:sz="0" w:space="0" w:color="auto"/>
                    <w:right w:val="none" w:sz="0" w:space="0" w:color="auto"/>
                  </w:divBdr>
                </w:div>
                <w:div w:id="1572734041">
                  <w:marLeft w:val="0"/>
                  <w:marRight w:val="0"/>
                  <w:marTop w:val="240"/>
                  <w:marBottom w:val="240"/>
                  <w:divBdr>
                    <w:top w:val="none" w:sz="0" w:space="0" w:color="auto"/>
                    <w:left w:val="none" w:sz="0" w:space="0" w:color="auto"/>
                    <w:bottom w:val="none" w:sz="0" w:space="0" w:color="auto"/>
                    <w:right w:val="none" w:sz="0" w:space="0" w:color="auto"/>
                  </w:divBdr>
                </w:div>
                <w:div w:id="1387946784">
                  <w:marLeft w:val="0"/>
                  <w:marRight w:val="0"/>
                  <w:marTop w:val="240"/>
                  <w:marBottom w:val="240"/>
                  <w:divBdr>
                    <w:top w:val="none" w:sz="0" w:space="0" w:color="auto"/>
                    <w:left w:val="none" w:sz="0" w:space="0" w:color="auto"/>
                    <w:bottom w:val="none" w:sz="0" w:space="0" w:color="auto"/>
                    <w:right w:val="none" w:sz="0" w:space="0" w:color="auto"/>
                  </w:divBdr>
                </w:div>
                <w:div w:id="2020883126">
                  <w:marLeft w:val="0"/>
                  <w:marRight w:val="0"/>
                  <w:marTop w:val="0"/>
                  <w:marBottom w:val="0"/>
                  <w:divBdr>
                    <w:top w:val="none" w:sz="0" w:space="0" w:color="auto"/>
                    <w:left w:val="none" w:sz="0" w:space="0" w:color="auto"/>
                    <w:bottom w:val="none" w:sz="0" w:space="0" w:color="auto"/>
                    <w:right w:val="none" w:sz="0" w:space="0" w:color="auto"/>
                  </w:divBdr>
                  <w:divsChild>
                    <w:div w:id="673993457">
                      <w:marLeft w:val="0"/>
                      <w:marRight w:val="0"/>
                      <w:marTop w:val="240"/>
                      <w:marBottom w:val="240"/>
                      <w:divBdr>
                        <w:top w:val="single" w:sz="12" w:space="0" w:color="EBEBEB"/>
                        <w:left w:val="none" w:sz="0" w:space="0" w:color="auto"/>
                        <w:bottom w:val="single" w:sz="12" w:space="0" w:color="EBEBEB"/>
                        <w:right w:val="none" w:sz="0" w:space="0" w:color="auto"/>
                      </w:divBdr>
                      <w:divsChild>
                        <w:div w:id="2034303098">
                          <w:marLeft w:val="360"/>
                          <w:marRight w:val="360"/>
                          <w:marTop w:val="0"/>
                          <w:marBottom w:val="300"/>
                          <w:divBdr>
                            <w:top w:val="none" w:sz="0" w:space="0" w:color="auto"/>
                            <w:left w:val="none" w:sz="0" w:space="0" w:color="auto"/>
                            <w:bottom w:val="none" w:sz="0" w:space="0" w:color="auto"/>
                            <w:right w:val="none" w:sz="0" w:space="0" w:color="auto"/>
                          </w:divBdr>
                        </w:div>
                        <w:div w:id="146253081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76586592">
                  <w:marLeft w:val="0"/>
                  <w:marRight w:val="0"/>
                  <w:marTop w:val="0"/>
                  <w:marBottom w:val="0"/>
                  <w:divBdr>
                    <w:top w:val="none" w:sz="0" w:space="0" w:color="auto"/>
                    <w:left w:val="none" w:sz="0" w:space="0" w:color="auto"/>
                    <w:bottom w:val="none" w:sz="0" w:space="0" w:color="auto"/>
                    <w:right w:val="none" w:sz="0" w:space="0" w:color="auto"/>
                  </w:divBdr>
                  <w:divsChild>
                    <w:div w:id="1030257692">
                      <w:marLeft w:val="360"/>
                      <w:marRight w:val="360"/>
                      <w:marTop w:val="0"/>
                      <w:marBottom w:val="300"/>
                      <w:divBdr>
                        <w:top w:val="none" w:sz="0" w:space="0" w:color="auto"/>
                        <w:left w:val="none" w:sz="0" w:space="0" w:color="auto"/>
                        <w:bottom w:val="none" w:sz="0" w:space="0" w:color="auto"/>
                        <w:right w:val="none" w:sz="0" w:space="0" w:color="auto"/>
                      </w:divBdr>
                    </w:div>
                  </w:divsChild>
                </w:div>
                <w:div w:id="1086345119">
                  <w:marLeft w:val="0"/>
                  <w:marRight w:val="0"/>
                  <w:marTop w:val="0"/>
                  <w:marBottom w:val="0"/>
                  <w:divBdr>
                    <w:top w:val="none" w:sz="0" w:space="0" w:color="auto"/>
                    <w:left w:val="none" w:sz="0" w:space="0" w:color="auto"/>
                    <w:bottom w:val="none" w:sz="0" w:space="0" w:color="auto"/>
                    <w:right w:val="none" w:sz="0" w:space="0" w:color="auto"/>
                  </w:divBdr>
                  <w:divsChild>
                    <w:div w:id="746077373">
                      <w:marLeft w:val="360"/>
                      <w:marRight w:val="360"/>
                      <w:marTop w:val="0"/>
                      <w:marBottom w:val="300"/>
                      <w:divBdr>
                        <w:top w:val="none" w:sz="0" w:space="0" w:color="auto"/>
                        <w:left w:val="none" w:sz="0" w:space="0" w:color="auto"/>
                        <w:bottom w:val="none" w:sz="0" w:space="0" w:color="auto"/>
                        <w:right w:val="none" w:sz="0" w:space="0" w:color="auto"/>
                      </w:divBdr>
                    </w:div>
                  </w:divsChild>
                </w:div>
                <w:div w:id="1293056839">
                  <w:marLeft w:val="0"/>
                  <w:marRight w:val="0"/>
                  <w:marTop w:val="0"/>
                  <w:marBottom w:val="0"/>
                  <w:divBdr>
                    <w:top w:val="none" w:sz="0" w:space="0" w:color="auto"/>
                    <w:left w:val="none" w:sz="0" w:space="0" w:color="auto"/>
                    <w:bottom w:val="none" w:sz="0" w:space="0" w:color="auto"/>
                    <w:right w:val="none" w:sz="0" w:space="0" w:color="auto"/>
                  </w:divBdr>
                  <w:divsChild>
                    <w:div w:id="499664833">
                      <w:marLeft w:val="0"/>
                      <w:marRight w:val="0"/>
                      <w:marTop w:val="240"/>
                      <w:marBottom w:val="240"/>
                      <w:divBdr>
                        <w:top w:val="single" w:sz="12" w:space="0" w:color="EBEBEB"/>
                        <w:left w:val="none" w:sz="0" w:space="0" w:color="auto"/>
                        <w:bottom w:val="single" w:sz="12" w:space="0" w:color="EBEBEB"/>
                        <w:right w:val="none" w:sz="0" w:space="0" w:color="auto"/>
                      </w:divBdr>
                      <w:divsChild>
                        <w:div w:id="655956983">
                          <w:marLeft w:val="360"/>
                          <w:marRight w:val="360"/>
                          <w:marTop w:val="0"/>
                          <w:marBottom w:val="300"/>
                          <w:divBdr>
                            <w:top w:val="none" w:sz="0" w:space="0" w:color="auto"/>
                            <w:left w:val="none" w:sz="0" w:space="0" w:color="auto"/>
                            <w:bottom w:val="none" w:sz="0" w:space="0" w:color="auto"/>
                            <w:right w:val="none" w:sz="0" w:space="0" w:color="auto"/>
                          </w:divBdr>
                        </w:div>
                        <w:div w:id="3578979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94077530">
                  <w:marLeft w:val="0"/>
                  <w:marRight w:val="0"/>
                  <w:marTop w:val="0"/>
                  <w:marBottom w:val="0"/>
                  <w:divBdr>
                    <w:top w:val="none" w:sz="0" w:space="0" w:color="auto"/>
                    <w:left w:val="none" w:sz="0" w:space="0" w:color="auto"/>
                    <w:bottom w:val="none" w:sz="0" w:space="0" w:color="auto"/>
                    <w:right w:val="none" w:sz="0" w:space="0" w:color="auto"/>
                  </w:divBdr>
                  <w:divsChild>
                    <w:div w:id="257832774">
                      <w:marLeft w:val="0"/>
                      <w:marRight w:val="0"/>
                      <w:marTop w:val="240"/>
                      <w:marBottom w:val="240"/>
                      <w:divBdr>
                        <w:top w:val="single" w:sz="12" w:space="0" w:color="EBEBEB"/>
                        <w:left w:val="none" w:sz="0" w:space="0" w:color="auto"/>
                        <w:bottom w:val="single" w:sz="12" w:space="0" w:color="EBEBEB"/>
                        <w:right w:val="none" w:sz="0" w:space="0" w:color="auto"/>
                      </w:divBdr>
                      <w:divsChild>
                        <w:div w:id="59208531">
                          <w:marLeft w:val="360"/>
                          <w:marRight w:val="360"/>
                          <w:marTop w:val="0"/>
                          <w:marBottom w:val="300"/>
                          <w:divBdr>
                            <w:top w:val="none" w:sz="0" w:space="0" w:color="auto"/>
                            <w:left w:val="none" w:sz="0" w:space="0" w:color="auto"/>
                            <w:bottom w:val="none" w:sz="0" w:space="0" w:color="auto"/>
                            <w:right w:val="none" w:sz="0" w:space="0" w:color="auto"/>
                          </w:divBdr>
                        </w:div>
                        <w:div w:id="8348844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99100878">
                  <w:marLeft w:val="0"/>
                  <w:marRight w:val="0"/>
                  <w:marTop w:val="0"/>
                  <w:marBottom w:val="0"/>
                  <w:divBdr>
                    <w:top w:val="none" w:sz="0" w:space="0" w:color="auto"/>
                    <w:left w:val="none" w:sz="0" w:space="0" w:color="auto"/>
                    <w:bottom w:val="none" w:sz="0" w:space="0" w:color="auto"/>
                    <w:right w:val="none" w:sz="0" w:space="0" w:color="auto"/>
                  </w:divBdr>
                  <w:divsChild>
                    <w:div w:id="298655814">
                      <w:marLeft w:val="0"/>
                      <w:marRight w:val="0"/>
                      <w:marTop w:val="240"/>
                      <w:marBottom w:val="240"/>
                      <w:divBdr>
                        <w:top w:val="single" w:sz="12" w:space="0" w:color="EBEBEB"/>
                        <w:left w:val="none" w:sz="0" w:space="0" w:color="auto"/>
                        <w:bottom w:val="single" w:sz="12" w:space="0" w:color="EBEBEB"/>
                        <w:right w:val="none" w:sz="0" w:space="0" w:color="auto"/>
                      </w:divBdr>
                      <w:divsChild>
                        <w:div w:id="616451272">
                          <w:marLeft w:val="360"/>
                          <w:marRight w:val="360"/>
                          <w:marTop w:val="0"/>
                          <w:marBottom w:val="300"/>
                          <w:divBdr>
                            <w:top w:val="none" w:sz="0" w:space="0" w:color="auto"/>
                            <w:left w:val="none" w:sz="0" w:space="0" w:color="auto"/>
                            <w:bottom w:val="none" w:sz="0" w:space="0" w:color="auto"/>
                            <w:right w:val="none" w:sz="0" w:space="0" w:color="auto"/>
                          </w:divBdr>
                        </w:div>
                        <w:div w:id="12974448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44438553">
                  <w:marLeft w:val="0"/>
                  <w:marRight w:val="0"/>
                  <w:marTop w:val="240"/>
                  <w:marBottom w:val="240"/>
                  <w:divBdr>
                    <w:top w:val="none" w:sz="0" w:space="0" w:color="auto"/>
                    <w:left w:val="none" w:sz="0" w:space="0" w:color="auto"/>
                    <w:bottom w:val="none" w:sz="0" w:space="0" w:color="auto"/>
                    <w:right w:val="none" w:sz="0" w:space="0" w:color="auto"/>
                  </w:divBdr>
                </w:div>
                <w:div w:id="496384295">
                  <w:marLeft w:val="0"/>
                  <w:marRight w:val="0"/>
                  <w:marTop w:val="0"/>
                  <w:marBottom w:val="0"/>
                  <w:divBdr>
                    <w:top w:val="none" w:sz="0" w:space="0" w:color="auto"/>
                    <w:left w:val="none" w:sz="0" w:space="0" w:color="auto"/>
                    <w:bottom w:val="none" w:sz="0" w:space="0" w:color="auto"/>
                    <w:right w:val="none" w:sz="0" w:space="0" w:color="auto"/>
                  </w:divBdr>
                  <w:divsChild>
                    <w:div w:id="846671372">
                      <w:marLeft w:val="360"/>
                      <w:marRight w:val="360"/>
                      <w:marTop w:val="0"/>
                      <w:marBottom w:val="300"/>
                      <w:divBdr>
                        <w:top w:val="none" w:sz="0" w:space="0" w:color="auto"/>
                        <w:left w:val="none" w:sz="0" w:space="0" w:color="auto"/>
                        <w:bottom w:val="none" w:sz="0" w:space="0" w:color="auto"/>
                        <w:right w:val="none" w:sz="0" w:space="0" w:color="auto"/>
                      </w:divBdr>
                    </w:div>
                  </w:divsChild>
                </w:div>
                <w:div w:id="1580362617">
                  <w:marLeft w:val="0"/>
                  <w:marRight w:val="0"/>
                  <w:marTop w:val="0"/>
                  <w:marBottom w:val="0"/>
                  <w:divBdr>
                    <w:top w:val="none" w:sz="0" w:space="0" w:color="auto"/>
                    <w:left w:val="none" w:sz="0" w:space="0" w:color="auto"/>
                    <w:bottom w:val="none" w:sz="0" w:space="0" w:color="auto"/>
                    <w:right w:val="none" w:sz="0" w:space="0" w:color="auto"/>
                  </w:divBdr>
                  <w:divsChild>
                    <w:div w:id="979727831">
                      <w:marLeft w:val="360"/>
                      <w:marRight w:val="360"/>
                      <w:marTop w:val="0"/>
                      <w:marBottom w:val="300"/>
                      <w:divBdr>
                        <w:top w:val="none" w:sz="0" w:space="0" w:color="auto"/>
                        <w:left w:val="none" w:sz="0" w:space="0" w:color="auto"/>
                        <w:bottom w:val="none" w:sz="0" w:space="0" w:color="auto"/>
                        <w:right w:val="none" w:sz="0" w:space="0" w:color="auto"/>
                      </w:divBdr>
                    </w:div>
                  </w:divsChild>
                </w:div>
                <w:div w:id="1233155295">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240"/>
                      <w:marBottom w:val="240"/>
                      <w:divBdr>
                        <w:top w:val="single" w:sz="12" w:space="0" w:color="EBEBEB"/>
                        <w:left w:val="none" w:sz="0" w:space="0" w:color="auto"/>
                        <w:bottom w:val="single" w:sz="12" w:space="0" w:color="EBEBEB"/>
                        <w:right w:val="none" w:sz="0" w:space="0" w:color="auto"/>
                      </w:divBdr>
                      <w:divsChild>
                        <w:div w:id="832768395">
                          <w:marLeft w:val="360"/>
                          <w:marRight w:val="360"/>
                          <w:marTop w:val="0"/>
                          <w:marBottom w:val="300"/>
                          <w:divBdr>
                            <w:top w:val="none" w:sz="0" w:space="0" w:color="auto"/>
                            <w:left w:val="none" w:sz="0" w:space="0" w:color="auto"/>
                            <w:bottom w:val="none" w:sz="0" w:space="0" w:color="auto"/>
                            <w:right w:val="none" w:sz="0" w:space="0" w:color="auto"/>
                          </w:divBdr>
                        </w:div>
                        <w:div w:id="13817857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805669">
                  <w:marLeft w:val="0"/>
                  <w:marRight w:val="0"/>
                  <w:marTop w:val="0"/>
                  <w:marBottom w:val="0"/>
                  <w:divBdr>
                    <w:top w:val="none" w:sz="0" w:space="0" w:color="auto"/>
                    <w:left w:val="none" w:sz="0" w:space="0" w:color="auto"/>
                    <w:bottom w:val="none" w:sz="0" w:space="0" w:color="auto"/>
                    <w:right w:val="none" w:sz="0" w:space="0" w:color="auto"/>
                  </w:divBdr>
                  <w:divsChild>
                    <w:div w:id="412893790">
                      <w:marLeft w:val="360"/>
                      <w:marRight w:val="360"/>
                      <w:marTop w:val="0"/>
                      <w:marBottom w:val="300"/>
                      <w:divBdr>
                        <w:top w:val="none" w:sz="0" w:space="0" w:color="auto"/>
                        <w:left w:val="none" w:sz="0" w:space="0" w:color="auto"/>
                        <w:bottom w:val="none" w:sz="0" w:space="0" w:color="auto"/>
                        <w:right w:val="none" w:sz="0" w:space="0" w:color="auto"/>
                      </w:divBdr>
                    </w:div>
                    <w:div w:id="1749226881">
                      <w:marLeft w:val="0"/>
                      <w:marRight w:val="0"/>
                      <w:marTop w:val="240"/>
                      <w:marBottom w:val="240"/>
                      <w:divBdr>
                        <w:top w:val="single" w:sz="12" w:space="0" w:color="EBEBEB"/>
                        <w:left w:val="none" w:sz="0" w:space="0" w:color="auto"/>
                        <w:bottom w:val="single" w:sz="12" w:space="0" w:color="EBEBEB"/>
                        <w:right w:val="none" w:sz="0" w:space="0" w:color="auto"/>
                      </w:divBdr>
                      <w:divsChild>
                        <w:div w:id="728528530">
                          <w:marLeft w:val="360"/>
                          <w:marRight w:val="360"/>
                          <w:marTop w:val="0"/>
                          <w:marBottom w:val="300"/>
                          <w:divBdr>
                            <w:top w:val="none" w:sz="0" w:space="0" w:color="auto"/>
                            <w:left w:val="none" w:sz="0" w:space="0" w:color="auto"/>
                            <w:bottom w:val="none" w:sz="0" w:space="0" w:color="auto"/>
                            <w:right w:val="none" w:sz="0" w:space="0" w:color="auto"/>
                          </w:divBdr>
                        </w:div>
                        <w:div w:id="5959468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56425266">
                  <w:marLeft w:val="0"/>
                  <w:marRight w:val="0"/>
                  <w:marTop w:val="240"/>
                  <w:marBottom w:val="240"/>
                  <w:divBdr>
                    <w:top w:val="none" w:sz="0" w:space="0" w:color="auto"/>
                    <w:left w:val="none" w:sz="0" w:space="0" w:color="auto"/>
                    <w:bottom w:val="none" w:sz="0" w:space="0" w:color="auto"/>
                    <w:right w:val="none" w:sz="0" w:space="0" w:color="auto"/>
                  </w:divBdr>
                </w:div>
                <w:div w:id="165051104">
                  <w:marLeft w:val="0"/>
                  <w:marRight w:val="0"/>
                  <w:marTop w:val="0"/>
                  <w:marBottom w:val="0"/>
                  <w:divBdr>
                    <w:top w:val="none" w:sz="0" w:space="0" w:color="auto"/>
                    <w:left w:val="none" w:sz="0" w:space="0" w:color="auto"/>
                    <w:bottom w:val="none" w:sz="0" w:space="0" w:color="auto"/>
                    <w:right w:val="none" w:sz="0" w:space="0" w:color="auto"/>
                  </w:divBdr>
                  <w:divsChild>
                    <w:div w:id="75245564">
                      <w:marLeft w:val="0"/>
                      <w:marRight w:val="0"/>
                      <w:marTop w:val="240"/>
                      <w:marBottom w:val="240"/>
                      <w:divBdr>
                        <w:top w:val="single" w:sz="12" w:space="0" w:color="EBEBEB"/>
                        <w:left w:val="none" w:sz="0" w:space="0" w:color="auto"/>
                        <w:bottom w:val="single" w:sz="12" w:space="0" w:color="EBEBEB"/>
                        <w:right w:val="none" w:sz="0" w:space="0" w:color="auto"/>
                      </w:divBdr>
                      <w:divsChild>
                        <w:div w:id="1604263681">
                          <w:marLeft w:val="360"/>
                          <w:marRight w:val="360"/>
                          <w:marTop w:val="0"/>
                          <w:marBottom w:val="300"/>
                          <w:divBdr>
                            <w:top w:val="none" w:sz="0" w:space="0" w:color="auto"/>
                            <w:left w:val="none" w:sz="0" w:space="0" w:color="auto"/>
                            <w:bottom w:val="none" w:sz="0" w:space="0" w:color="auto"/>
                            <w:right w:val="none" w:sz="0" w:space="0" w:color="auto"/>
                          </w:divBdr>
                        </w:div>
                        <w:div w:id="44029745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89815003">
      <w:bodyDiv w:val="1"/>
      <w:marLeft w:val="0"/>
      <w:marRight w:val="0"/>
      <w:marTop w:val="0"/>
      <w:marBottom w:val="0"/>
      <w:divBdr>
        <w:top w:val="none" w:sz="0" w:space="0" w:color="auto"/>
        <w:left w:val="none" w:sz="0" w:space="0" w:color="auto"/>
        <w:bottom w:val="none" w:sz="0" w:space="0" w:color="auto"/>
        <w:right w:val="none" w:sz="0" w:space="0" w:color="auto"/>
      </w:divBdr>
    </w:div>
    <w:div w:id="1825730838">
      <w:bodyDiv w:val="1"/>
      <w:marLeft w:val="0"/>
      <w:marRight w:val="0"/>
      <w:marTop w:val="0"/>
      <w:marBottom w:val="0"/>
      <w:divBdr>
        <w:top w:val="none" w:sz="0" w:space="0" w:color="auto"/>
        <w:left w:val="none" w:sz="0" w:space="0" w:color="auto"/>
        <w:bottom w:val="none" w:sz="0" w:space="0" w:color="auto"/>
        <w:right w:val="none" w:sz="0" w:space="0" w:color="auto"/>
      </w:divBdr>
      <w:divsChild>
        <w:div w:id="140197288">
          <w:marLeft w:val="0"/>
          <w:marRight w:val="0"/>
          <w:marTop w:val="0"/>
          <w:marBottom w:val="120"/>
          <w:divBdr>
            <w:top w:val="none" w:sz="0" w:space="0" w:color="auto"/>
            <w:left w:val="none" w:sz="0" w:space="0" w:color="auto"/>
            <w:bottom w:val="none" w:sz="0" w:space="0" w:color="auto"/>
            <w:right w:val="none" w:sz="0" w:space="0" w:color="auto"/>
          </w:divBdr>
          <w:divsChild>
            <w:div w:id="458114340">
              <w:marLeft w:val="0"/>
              <w:marRight w:val="0"/>
              <w:marTop w:val="0"/>
              <w:marBottom w:val="0"/>
              <w:divBdr>
                <w:top w:val="none" w:sz="0" w:space="0" w:color="auto"/>
                <w:left w:val="none" w:sz="0" w:space="0" w:color="auto"/>
                <w:bottom w:val="none" w:sz="0" w:space="0" w:color="auto"/>
                <w:right w:val="none" w:sz="0" w:space="0" w:color="auto"/>
              </w:divBdr>
              <w:divsChild>
                <w:div w:id="2051103798">
                  <w:marLeft w:val="0"/>
                  <w:marRight w:val="0"/>
                  <w:marTop w:val="0"/>
                  <w:marBottom w:val="0"/>
                  <w:divBdr>
                    <w:top w:val="none" w:sz="0" w:space="0" w:color="auto"/>
                    <w:left w:val="none" w:sz="0" w:space="0" w:color="auto"/>
                    <w:bottom w:val="none" w:sz="0" w:space="0" w:color="auto"/>
                    <w:right w:val="none" w:sz="0" w:space="0" w:color="auto"/>
                  </w:divBdr>
                  <w:divsChild>
                    <w:div w:id="13506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990261">
      <w:bodyDiv w:val="1"/>
      <w:marLeft w:val="0"/>
      <w:marRight w:val="0"/>
      <w:marTop w:val="0"/>
      <w:marBottom w:val="0"/>
      <w:divBdr>
        <w:top w:val="none" w:sz="0" w:space="0" w:color="auto"/>
        <w:left w:val="none" w:sz="0" w:space="0" w:color="auto"/>
        <w:bottom w:val="none" w:sz="0" w:space="0" w:color="auto"/>
        <w:right w:val="none" w:sz="0" w:space="0" w:color="auto"/>
      </w:divBdr>
    </w:div>
    <w:div w:id="1893615704">
      <w:bodyDiv w:val="1"/>
      <w:marLeft w:val="0"/>
      <w:marRight w:val="0"/>
      <w:marTop w:val="0"/>
      <w:marBottom w:val="0"/>
      <w:divBdr>
        <w:top w:val="none" w:sz="0" w:space="0" w:color="auto"/>
        <w:left w:val="none" w:sz="0" w:space="0" w:color="auto"/>
        <w:bottom w:val="none" w:sz="0" w:space="0" w:color="auto"/>
        <w:right w:val="none" w:sz="0" w:space="0" w:color="auto"/>
      </w:divBdr>
      <w:divsChild>
        <w:div w:id="1372026588">
          <w:marLeft w:val="0"/>
          <w:marRight w:val="0"/>
          <w:marTop w:val="0"/>
          <w:marBottom w:val="120"/>
          <w:divBdr>
            <w:top w:val="none" w:sz="0" w:space="0" w:color="auto"/>
            <w:left w:val="none" w:sz="0" w:space="0" w:color="auto"/>
            <w:bottom w:val="none" w:sz="0" w:space="0" w:color="auto"/>
            <w:right w:val="none" w:sz="0" w:space="0" w:color="auto"/>
          </w:divBdr>
          <w:divsChild>
            <w:div w:id="1799491290">
              <w:marLeft w:val="0"/>
              <w:marRight w:val="0"/>
              <w:marTop w:val="0"/>
              <w:marBottom w:val="0"/>
              <w:divBdr>
                <w:top w:val="none" w:sz="0" w:space="0" w:color="auto"/>
                <w:left w:val="none" w:sz="0" w:space="0" w:color="auto"/>
                <w:bottom w:val="none" w:sz="0" w:space="0" w:color="auto"/>
                <w:right w:val="none" w:sz="0" w:space="0" w:color="auto"/>
              </w:divBdr>
              <w:divsChild>
                <w:div w:id="163856978">
                  <w:marLeft w:val="0"/>
                  <w:marRight w:val="0"/>
                  <w:marTop w:val="0"/>
                  <w:marBottom w:val="0"/>
                  <w:divBdr>
                    <w:top w:val="none" w:sz="0" w:space="0" w:color="auto"/>
                    <w:left w:val="none" w:sz="0" w:space="0" w:color="auto"/>
                    <w:bottom w:val="none" w:sz="0" w:space="0" w:color="auto"/>
                    <w:right w:val="none" w:sz="0" w:space="0" w:color="auto"/>
                  </w:divBdr>
                  <w:divsChild>
                    <w:div w:id="21144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711459">
      <w:bodyDiv w:val="1"/>
      <w:marLeft w:val="0"/>
      <w:marRight w:val="0"/>
      <w:marTop w:val="0"/>
      <w:marBottom w:val="0"/>
      <w:divBdr>
        <w:top w:val="none" w:sz="0" w:space="0" w:color="auto"/>
        <w:left w:val="none" w:sz="0" w:space="0" w:color="auto"/>
        <w:bottom w:val="none" w:sz="0" w:space="0" w:color="auto"/>
        <w:right w:val="none" w:sz="0" w:space="0" w:color="auto"/>
      </w:divBdr>
    </w:div>
    <w:div w:id="2019306190">
      <w:bodyDiv w:val="1"/>
      <w:marLeft w:val="0"/>
      <w:marRight w:val="0"/>
      <w:marTop w:val="0"/>
      <w:marBottom w:val="0"/>
      <w:divBdr>
        <w:top w:val="none" w:sz="0" w:space="0" w:color="auto"/>
        <w:left w:val="none" w:sz="0" w:space="0" w:color="auto"/>
        <w:bottom w:val="none" w:sz="0" w:space="0" w:color="auto"/>
        <w:right w:val="none" w:sz="0" w:space="0" w:color="auto"/>
      </w:divBdr>
      <w:divsChild>
        <w:div w:id="523832998">
          <w:marLeft w:val="0"/>
          <w:marRight w:val="0"/>
          <w:marTop w:val="0"/>
          <w:marBottom w:val="0"/>
          <w:divBdr>
            <w:top w:val="none" w:sz="0" w:space="0" w:color="auto"/>
            <w:left w:val="none" w:sz="0" w:space="0" w:color="auto"/>
            <w:bottom w:val="none" w:sz="0" w:space="0" w:color="auto"/>
            <w:right w:val="none" w:sz="0" w:space="0" w:color="auto"/>
          </w:divBdr>
          <w:divsChild>
            <w:div w:id="2079014153">
              <w:marLeft w:val="0"/>
              <w:marRight w:val="0"/>
              <w:marTop w:val="0"/>
              <w:marBottom w:val="0"/>
              <w:divBdr>
                <w:top w:val="none" w:sz="0" w:space="0" w:color="auto"/>
                <w:left w:val="none" w:sz="0" w:space="0" w:color="auto"/>
                <w:bottom w:val="none" w:sz="0" w:space="0" w:color="auto"/>
                <w:right w:val="none" w:sz="0" w:space="0" w:color="auto"/>
              </w:divBdr>
              <w:divsChild>
                <w:div w:id="1695032459">
                  <w:marLeft w:val="-240"/>
                  <w:marRight w:val="-240"/>
                  <w:marTop w:val="0"/>
                  <w:marBottom w:val="0"/>
                  <w:divBdr>
                    <w:top w:val="none" w:sz="0" w:space="0" w:color="auto"/>
                    <w:left w:val="none" w:sz="0" w:space="0" w:color="auto"/>
                    <w:bottom w:val="none" w:sz="0" w:space="0" w:color="auto"/>
                    <w:right w:val="none" w:sz="0" w:space="0" w:color="auto"/>
                  </w:divBdr>
                  <w:divsChild>
                    <w:div w:id="55589454">
                      <w:marLeft w:val="0"/>
                      <w:marRight w:val="0"/>
                      <w:marTop w:val="0"/>
                      <w:marBottom w:val="0"/>
                      <w:divBdr>
                        <w:top w:val="none" w:sz="0" w:space="0" w:color="auto"/>
                        <w:left w:val="none" w:sz="0" w:space="0" w:color="auto"/>
                        <w:bottom w:val="none" w:sz="0" w:space="0" w:color="auto"/>
                        <w:right w:val="none" w:sz="0" w:space="0" w:color="auto"/>
                      </w:divBdr>
                      <w:divsChild>
                        <w:div w:id="580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601172">
      <w:bodyDiv w:val="1"/>
      <w:marLeft w:val="0"/>
      <w:marRight w:val="0"/>
      <w:marTop w:val="0"/>
      <w:marBottom w:val="0"/>
      <w:divBdr>
        <w:top w:val="none" w:sz="0" w:space="0" w:color="auto"/>
        <w:left w:val="none" w:sz="0" w:space="0" w:color="auto"/>
        <w:bottom w:val="none" w:sz="0" w:space="0" w:color="auto"/>
        <w:right w:val="none" w:sz="0" w:space="0" w:color="auto"/>
      </w:divBdr>
    </w:div>
    <w:div w:id="213590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A3785-BD2A-481A-80CE-C488D7F7E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13</Pages>
  <Words>4316</Words>
  <Characters>23744</Characters>
  <Application>Microsoft Office Word</Application>
  <DocSecurity>0</DocSecurity>
  <Lines>197</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Gustavo Toledo</cp:lastModifiedBy>
  <cp:revision>21</cp:revision>
  <dcterms:created xsi:type="dcterms:W3CDTF">2021-01-12T00:00:00Z</dcterms:created>
  <dcterms:modified xsi:type="dcterms:W3CDTF">2021-04-01T17:59:00Z</dcterms:modified>
</cp:coreProperties>
</file>